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Алтайский край</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Администрация города Алейска</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b/>
          <w:bCs/>
          <w:color w:val="292929"/>
          <w:sz w:val="21"/>
          <w:szCs w:val="21"/>
        </w:rPr>
        <w:t>П О С Т А Н О В Л Е Н И Е</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12.10.2016                                                                             № 919</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г. Алейск</w:t>
      </w:r>
    </w:p>
    <w:tbl>
      <w:tblPr>
        <w:tblW w:w="0" w:type="auto"/>
        <w:shd w:val="clear" w:color="auto" w:fill="FFFFFF"/>
        <w:tblCellMar>
          <w:left w:w="0" w:type="dxa"/>
          <w:right w:w="0" w:type="dxa"/>
        </w:tblCellMar>
        <w:tblLook w:val="04A0" w:firstRow="1" w:lastRow="0" w:firstColumn="1" w:lastColumn="0" w:noHBand="0" w:noVBand="1"/>
      </w:tblPr>
      <w:tblGrid>
        <w:gridCol w:w="9505"/>
      </w:tblGrid>
      <w:tr w:rsidR="00E513E1" w:rsidTr="00E513E1">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w:t>
            </w:r>
          </w:p>
        </w:tc>
      </w:tr>
    </w:tbl>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соответствии с Земельным Кодексом РФ, Федеральным законом от 27.07.2010 №210-ФЗ «Об организации предоставления государственных и муниципальных услуг», Федеральным </w:t>
      </w:r>
      <w:hyperlink r:id="rId6"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Pr>
            <w:rStyle w:val="a6"/>
            <w:rFonts w:ascii="Arial" w:hAnsi="Arial" w:cs="Arial"/>
            <w:color w:val="014591"/>
            <w:sz w:val="21"/>
            <w:szCs w:val="21"/>
          </w:rPr>
          <w:t>законом</w:t>
        </w:r>
      </w:hyperlink>
      <w:r>
        <w:rPr>
          <w:rFonts w:ascii="Arial" w:hAnsi="Arial" w:cs="Arial"/>
          <w:color w:val="292929"/>
          <w:sz w:val="21"/>
          <w:szCs w:val="21"/>
        </w:rPr>
        <w:t> от 06.10.2003 № 131-ФЗ «Об общих принципах организации местного самоуправления в Российской Федерации», во исполнение постановления администрации города от 22.06.2011 №747/1 «Об утверждении Порядка формирования и ведения реестра муниципальных услуг, состава ответственных лиц по ведению муниципальных услуг на территории города Алейска Алтайского края», в целях повышения качества исполнения муниципальных функций и предоставления муниципальных услуг населению: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ПОСТАНОВЛЯЮ: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 Начальнику отдела по печати и информации (Сухно Ф.Н.) разместить настоящее постановление на официальном сайте администрации города Алейска;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 Сотрудникам администрации города Алейска, ответственным за размещение сведений о муниципальной услуге в государственной информационной системе «Федеральный реестр государственных услуг» (далее - ФРГУ):</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разместить информацию в ФРГУ согласно Административному регламенту предоставления муниципальной услуги «Предоставление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осуществлять контроль за соответствием сведений (положений)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 сведениям, содержащимся в федеральной государственной информационной системе «Единый портал государственных и муниципальных услуг (функций)».</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6. Заместителю главы администрации города, председателю комитета по управлению муниципальным имуществом администрации города (О.Н. Степановой) ответственному за предоставление муниципальной услуги, осуществлять постоянный контроль за ее реализацией.</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7. Признать утратившими силу следующие постановления администрации города: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 28.06.2012 №982 «Об утверждении административного регламента предоставления муниципальной услуги по предоставлению юридическим и физическим лицам в постоянное (бессрочное) пользование, в безвозмездное пользование, аренду, собственность земельных участков»;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от 15.04.2013 №480 «О внесении изменений в административный регламент предоставления муниципальной услуги по предоставлению юридическим и физическим лицам в постоянное (бессрочное) пользование, в безвозмездное пользование, аренду, собственность земельных участков, утвержденный постановлением администрации города от 28.06.2012 №982»;</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 05.09.2013 №1327 «О внесении дополнения в административный регламент предоставления муниципальной услуги по предоставлению юридическим и физическим лицам в постоянное (бессрочное) пользование, в безвозмездное пользование, аренду, собственность земельных участков, утвержденный постановлением администрации города от 28.06.2012 №982»;</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-от 21.07.2015 №745 «О внесении дополнения в административный регламент предоставления муниципальной услуги по предоставлению юридическим и физическим лицам </w:t>
      </w:r>
      <w:r>
        <w:rPr>
          <w:rFonts w:ascii="Arial" w:hAnsi="Arial" w:cs="Arial"/>
          <w:color w:val="292929"/>
          <w:sz w:val="21"/>
          <w:szCs w:val="21"/>
        </w:rPr>
        <w:lastRenderedPageBreak/>
        <w:t>в постоянное (бессрочное) пользование, в безвозмездное пользование, аренду, собственность земельных участков, утвержденный постановлением администрации города от 28.06.2012 №982»;</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Первый заместитель главы</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администрации города                                                                 И.И. Брейнерт</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УТВЕРЖДЕН</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Постановлением администрации города Алейска Алтайского края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 12.10.2016   № 919</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Административный регламент</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предоставления муниципальной услуги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«Предоставление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w:t>
      </w:r>
    </w:p>
    <w:p w:rsidR="00E513E1" w:rsidRDefault="00E513E1" w:rsidP="00E513E1">
      <w:pPr>
        <w:numPr>
          <w:ilvl w:val="0"/>
          <w:numId w:val="1"/>
        </w:numPr>
        <w:shd w:val="clear" w:color="auto" w:fill="FFFFFF"/>
        <w:spacing w:after="450" w:line="240" w:lineRule="auto"/>
        <w:ind w:left="675"/>
        <w:rPr>
          <w:rFonts w:ascii="Arial" w:hAnsi="Arial" w:cs="Arial"/>
          <w:b/>
          <w:bCs/>
          <w:color w:val="333333"/>
          <w:sz w:val="18"/>
          <w:szCs w:val="18"/>
        </w:rPr>
      </w:pPr>
      <w:r>
        <w:rPr>
          <w:rFonts w:ascii="Arial" w:hAnsi="Arial" w:cs="Arial"/>
          <w:b/>
          <w:bCs/>
          <w:color w:val="333333"/>
          <w:sz w:val="18"/>
          <w:szCs w:val="18"/>
        </w:rPr>
        <w:t>Общие положения</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1.1. Предмет Административного регламента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Административный регламент предоставления муниципальной услуги «Предоставление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 (далее – Регламент) устанавливает сроки, последовательность административных процедур и административных действий, осуществляемых комитетом по управлению муниципальным имуществом администрации города Алейска Алтайского края по запросу физического или юридического лица в пределах установленных полномочий по предоставлению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 за исключением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а также предоставления земельных участков, на которых расположены здания, сооружения.</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при предоставлении муниципальной услуги с соответствующими органами местного самоуправления и иными организациями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Правом на подачу заявления о предоставлении муниципальной услуги обладают граждане, юридические лица, заинтересованные в предоставлении в собственность, аренду, постоянное (бессрочное) пользование, безвозмездное пользование земельного участка, находящего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 (далее - заявитель).</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 Стандарт предоставления государственной услуги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2.1. Наименование государственной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Муниципальная услуга «Предоставление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 </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2.2. Наименование органа местного самоуправления, непосредственно предоставляющего муниципальную услугу</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Муниципальную услугу предоставляет комитет по управлению муниципальным имуществом администрации города Алейска Алтайского края (далее – Комитет).</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Место нахождения Комитета: ул. Сердюка, 97, г. Алейск, 658130.</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Приём и выдачу документов осуществляет Комитет, а также КАУ «Многофункциональный центр предоставления государственных и муниципальных услуг Алтайского края» (далее – </w:t>
      </w:r>
      <w:r>
        <w:rPr>
          <w:rFonts w:ascii="Arial" w:hAnsi="Arial" w:cs="Arial"/>
          <w:color w:val="292929"/>
          <w:sz w:val="21"/>
          <w:szCs w:val="21"/>
        </w:rPr>
        <w:lastRenderedPageBreak/>
        <w:t>МФЦ), при условии наличия заключенного соглашения о взаимодействии между МФЦ и администрацией города Алейска Алтайского края, 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если предоставление муниципальной услуги «Предоставление земельных участков, находящихся в муниципальной собственности, или земельных участков, расположенных на территории города Алейска, государственная собственность на которые не разграничена, без проведения торгов»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Заявления о предоставлении земельных участков подаются в Комитет по адресу: ул.Сердюка, 97, г. Алейск, каб. 11.</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График работы Комитета :</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 15 апреля по 15 октября: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 понедельника по четверг   с 8.30 до 17.30 (во вторник – до 18.30.) пятница с 8.30 до 16.30, обеденный перерыв: с 12.45   до 14.00.</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 15 октября по 15 апреля: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 понедельника по пятницу   с 8.30 до 17.30 (во вторник – до 18.30.) обеденный перерыв: с 12.45   до 14.00.</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График работы специалистов Комитета, осуществляющих прием документов от заявителей: по вторникам с 8.30 до 18.30.</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Информирование по вопросам, связанным с предоставлением муниципальной услуги, осуществляется по следующим телефонам: (38553) 22512, тел/факс: (38553) 22870.</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Адрес  электронной  почты  Комитета: </w:t>
      </w:r>
      <w:hyperlink r:id="rId7" w:history="1">
        <w:r>
          <w:rPr>
            <w:rStyle w:val="a6"/>
            <w:rFonts w:ascii="Arial" w:hAnsi="Arial" w:cs="Arial"/>
            <w:color w:val="014591"/>
            <w:sz w:val="21"/>
            <w:szCs w:val="21"/>
          </w:rPr>
          <w:t>kumi_aleisk@mail.ru</w:t>
        </w:r>
      </w:hyperlink>
      <w:r>
        <w:rPr>
          <w:rFonts w:ascii="Arial" w:hAnsi="Arial" w:cs="Arial"/>
          <w:color w:val="292929"/>
          <w:sz w:val="21"/>
          <w:szCs w:val="21"/>
        </w:rPr>
        <w:t>.</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Адрес официального сайта Комитета: aleisk22.su.</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Информирование о предоставлении муниципальной услуги осуществляется при личном обращении заявителей в Комитет, краевое автономное учреждение «Многофункциональный центр предоставления государственных и муниципальных услуг Алтайского края», при обращении заявителя в Комитет с использованием почтовой, телефонной, факсимильной и электронной связи, а также путём размещения соответствующей информации на информационных стендах и официальном сайте Комитета в сети «Интернет»,информационных стендах краевого автономного учреждения «Многофункциональный центр предоставления государственных и муниципальных услуг Алтайского края».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Информацию о предоставлении муниципальной услуги можно получить путём использования федеральной государственной информационной системы «Единый портал государственных и муниципальных услуг (функций)» (</w:t>
      </w:r>
      <w:hyperlink r:id="rId8" w:history="1">
        <w:r>
          <w:rPr>
            <w:rStyle w:val="a6"/>
            <w:rFonts w:ascii="Arial" w:hAnsi="Arial" w:cs="Arial"/>
            <w:color w:val="014591"/>
            <w:sz w:val="21"/>
            <w:szCs w:val="21"/>
          </w:rPr>
          <w:t>www.gosuslugi.ru</w:t>
        </w:r>
      </w:hyperlink>
      <w:r>
        <w:rPr>
          <w:rFonts w:ascii="Arial" w:hAnsi="Arial" w:cs="Arial"/>
          <w:color w:val="292929"/>
          <w:sz w:val="21"/>
          <w:szCs w:val="21"/>
        </w:rPr>
        <w:t>), (далее – единый портал).</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Основными требованиями к информированию заявителей о предоставлении муниципальной услуги являются: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достоверность предоставляемой информации;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четкость и лаконичность в изложении информации;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полнота информирования;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наглядность форм предоставляемой информации;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удобство и доступность информации;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оперативность предоставления информации.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органа местного самоуправления города Алейска.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предоставлении муниципальной услуги принимают участие следующие органы и организации, обращение в которые в рамках межведомственного информационного взаимодействия необходимо для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Федеральная налоговая служба;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Федеральная служба государственной регистрации, кадастра и картографии;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Федеральная миграционная служба;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Пенсионный фонд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Органы местного самоуправления города Алейска и органы государственной власти Алтайского края.</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2.3. Результат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Результатом предоставления муниципальной услуги является выдача (направление) заявителю одного из следующих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решения о предоставлении земельного участка в собственность бесплатно;</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решения о предоставлении земельного участка в постоянное (бессрочное) пользование;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подписанных Комитетом экземпляров проекта договора аренды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подписанных Комитетом экземпляров проекта договора купли-продажи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подписанных Комитетом экземпляров проекта договора безвозмездного пользования земельным участком;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решения об отказе в предоставлении земельного участка.</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2.4. Срок предоставления муниципальной услуги, с учетом необходимости обращения в организации, участвующие в ее предоставлении, срок приостановления предоставления муниципальной услуги в случае, если такая возможность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Срок предоставления муниципальной услуги, с учетом необходимости обращения в органы и организации, участвующие в ее предоставлении, составляет 30 дней со дня поступления заявления о предоставлении земельного участка без проведения торгов.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Срок приостановления предоставления муниципальной услуги не установлен.</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Срок выдачи (направления) документов, являющихся результатом предоставления государственной услуги определен в пункте 3.2.7 Регламента.    </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2.5. Перечень нормативных правовых актов, непосредственно регулирующих предоставление муниципальной услуги, с указанием их реквизитов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Предоставление муниципальной услуги осуществляется в соответствии со следующими нормативными правовыми актами: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Конституцией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hyperlink r:id="rId9" w:history="1">
        <w:r>
          <w:rPr>
            <w:rStyle w:val="a6"/>
            <w:rFonts w:ascii="Arial" w:hAnsi="Arial" w:cs="Arial"/>
            <w:color w:val="014591"/>
            <w:sz w:val="21"/>
            <w:szCs w:val="21"/>
          </w:rPr>
          <w:t>Земельным кодексом</w:t>
        </w:r>
      </w:hyperlink>
      <w:r>
        <w:rPr>
          <w:rFonts w:ascii="Arial" w:hAnsi="Arial" w:cs="Arial"/>
          <w:color w:val="292929"/>
          <w:sz w:val="21"/>
          <w:szCs w:val="21"/>
        </w:rPr>
        <w:t> Российской Федерации (далее – ЗК РФ);</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Градостроительным кодексом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hyperlink r:id="rId10" w:history="1">
        <w:r>
          <w:rPr>
            <w:rStyle w:val="a6"/>
            <w:rFonts w:ascii="Arial" w:hAnsi="Arial" w:cs="Arial"/>
            <w:color w:val="014591"/>
            <w:sz w:val="21"/>
            <w:szCs w:val="21"/>
          </w:rPr>
          <w:t>Гражданским кодексом</w:t>
        </w:r>
      </w:hyperlink>
      <w:r>
        <w:rPr>
          <w:rFonts w:ascii="Arial" w:hAnsi="Arial" w:cs="Arial"/>
          <w:color w:val="292929"/>
          <w:sz w:val="21"/>
          <w:szCs w:val="21"/>
        </w:rPr>
        <w:t>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hyperlink r:id="rId11" w:history="1">
        <w:r>
          <w:rPr>
            <w:rStyle w:val="a6"/>
            <w:rFonts w:ascii="Arial" w:hAnsi="Arial" w:cs="Arial"/>
            <w:color w:val="014591"/>
            <w:sz w:val="21"/>
            <w:szCs w:val="21"/>
          </w:rPr>
          <w:t>Федеральным законом</w:t>
        </w:r>
      </w:hyperlink>
      <w:r>
        <w:rPr>
          <w:rFonts w:ascii="Arial" w:hAnsi="Arial" w:cs="Arial"/>
          <w:color w:val="292929"/>
          <w:sz w:val="21"/>
          <w:szCs w:val="21"/>
        </w:rPr>
        <w:t> от 25.10.2001 № 137-ФЗ «О введении в действие Земельного кодекса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Федеральным законом от 02.05.2006 № 59-ФЗ «О порядке рассмотрения обращений граждан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Федеральным законом от 27.07.2006 №152-ФЗ «О персональных данных» (далее − Федеральный закон от 27.07.2006 №152-ФЗ);</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hyperlink r:id="rId12" w:history="1">
        <w:r>
          <w:rPr>
            <w:rStyle w:val="a6"/>
            <w:rFonts w:ascii="Arial" w:hAnsi="Arial" w:cs="Arial"/>
            <w:color w:val="014591"/>
            <w:sz w:val="21"/>
            <w:szCs w:val="21"/>
          </w:rPr>
          <w:t>Федеральным законом</w:t>
        </w:r>
      </w:hyperlink>
      <w:r>
        <w:rPr>
          <w:rFonts w:ascii="Arial" w:hAnsi="Arial" w:cs="Arial"/>
          <w:color w:val="292929"/>
          <w:sz w:val="21"/>
          <w:szCs w:val="21"/>
        </w:rPr>
        <w:t> от 24.07.2007 № 221-ФЗ «О государственном кадастре недвижимости»;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Федеральным законом от 27.07.2010 210-ФЗ «Об организации предоставления государственных и муниципальных услуг»;</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Федеральным законом от 06.04.2011 № 63-Ф3 «Об электронной подписи»;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hyperlink r:id="rId13" w:history="1">
        <w:r>
          <w:rPr>
            <w:rStyle w:val="a6"/>
            <w:rFonts w:ascii="Arial" w:hAnsi="Arial" w:cs="Arial"/>
            <w:color w:val="014591"/>
            <w:sz w:val="21"/>
            <w:szCs w:val="21"/>
          </w:rPr>
          <w:t>Приказом</w:t>
        </w:r>
      </w:hyperlink>
      <w:r>
        <w:rPr>
          <w:rFonts w:ascii="Arial" w:hAnsi="Arial" w:cs="Arial"/>
          <w:color w:val="292929"/>
          <w:sz w:val="21"/>
          <w:szCs w:val="21"/>
        </w:rPr>
        <w:t>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от 12.01.2015 № 1);</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от 14.01.2015 № 7);</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законом Алтайского края от 29.12.2006 № 152-ЗС «О рассмотрении обращений граждан Российской Федерации на территории Алтайского края»;</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формы обращений, заявления и иных документов, подаваемых заявителем в связи с предоставлением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а также способы их получения заявителями, в том числе в электронной форме, порядок их представления: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 заявление о предоставлении земельного участка без проведения торгов по форме согласно приложению 1 к Регламенту (далее - заявление), в котором указываются: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фамилия, имя, отчество (последнее − при наличии), место жительства заявителя, реквизиты документа, удостоверяющего личность заявителя, согласие на обработку его персональных данных в соответствии с требованиями </w:t>
      </w:r>
      <w:hyperlink r:id="rId14" w:history="1">
        <w:r>
          <w:rPr>
            <w:rStyle w:val="a6"/>
            <w:rFonts w:ascii="Arial" w:hAnsi="Arial" w:cs="Arial"/>
            <w:color w:val="014591"/>
            <w:sz w:val="21"/>
            <w:szCs w:val="21"/>
          </w:rPr>
          <w:t>Федерального закона</w:t>
        </w:r>
      </w:hyperlink>
      <w:r>
        <w:rPr>
          <w:rFonts w:ascii="Arial" w:hAnsi="Arial" w:cs="Arial"/>
          <w:color w:val="292929"/>
          <w:sz w:val="21"/>
          <w:szCs w:val="21"/>
        </w:rPr>
        <w:t> от 27.07.2006 №152-ФЗ (для гражданина);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кадастровый номер испрашиваемого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цель использования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почтовый адрес и (или) адрес электронной почты для связи с заявителем.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 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Минэкономразвития от 12.01.2015 № 1,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2 к Регламенту);</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Pr>
          <w:rFonts w:ascii="Arial" w:hAnsi="Arial" w:cs="Arial"/>
          <w:color w:val="292929"/>
          <w:sz w:val="21"/>
          <w:szCs w:val="21"/>
        </w:rPr>
        <w:lastRenderedPageBreak/>
        <w:t>представить, а также способы их получения заявителями, в том числе в электронной форме, порядок их представления: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 выписка из Единого государственного реестра юридических лиц (далее − ЕГРЮЛ) о юридическом лице, являющемся заявителем;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 выписка   из Единого государственного реестра    индивидуальных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предпринимателей (далее − ЕГРИП) об индивидуальном предпринимателе, являющемся заявителем;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 выписка из Единого государственного реестра прав на недвижимое имущество и сделок с ним (далее − ЕГРП) о правах на здание, сооружение, находящихся на испрашиваемом земельном участке, или уведомление об отсутствии − в ЕГРП запрашиваемых сведений о зарегистрированных правах на указанные здания, сооружения;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4) выписка из ЕГРП о правах на земельный участок или уведомление об отсутствии в ЕГРП запрашиваемых сведений о зарегистрированных правах на испрашиваемый земельный участок;</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5) кадастровый паспорт земельного участка либо кадастровая выписка об испрашиваемом земельном участке;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6) кадастровый паспорт здания, сооружения, расположенного на испрашиваемом земельном участке;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7) утвержденный проект планировки и утвержденный проект межевания территории;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8) проект организации и застройки территории некоммерческого объединения, в случае отсутствия утвержденного проекта межевания территории.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Непредоставление заявителем указанных документов не является основанием для отказа заявителю в предоставлении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2.6.3. Документы, прилагаемые к заявлению, получаются заявителем в порядке, установленном действующим законодательством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Запрещается требовать от заявителя: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предоставления документов и информации, которые находятся в распоряжении органов, оказывающих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2.6.4. Заявление может быть подано в форме электронного документа с использованием информационно-телекоммуникационной сети «Интернет», путём направления на адрес электронной почты Комитета: а также через единый портал в порядке и способом, предусмотренном приказом Минэкономразвития от 14.01.2015 № 7.</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Заявление в форме электронного документа может быть подписано по выбору заявителя (если заявителем является физическое лицо):</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электронной подписью заявителя (представителя заявителя);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усиленной квалифицированной электронной подписью заявителя (представителя заявителя).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лица, действующего от имени юридического лица без доверенности;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представляется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Заявления и прилагаемые к ним документы посредством отправки через единый портал направляются в виде файлов в формате XML (далее - XML-документ), созданных с </w:t>
      </w:r>
      <w:r>
        <w:rPr>
          <w:rFonts w:ascii="Arial" w:hAnsi="Arial" w:cs="Arial"/>
          <w:color w:val="292929"/>
          <w:sz w:val="21"/>
          <w:szCs w:val="21"/>
        </w:rPr>
        <w:lastRenderedPageBreak/>
        <w:t>использованием XML-схем и обеспечивающих считывание и контроль представленных данных.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2.7. Исчерпывающий перечень оснований для отказа в приёме документов, необходимых для предоставления муниципальной услуги, а также для их возврата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2.7.1. Основания для отказа в приёме документов, необходимых для предоставления муниципальной услуги, отсутствуют.</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2.7.2. Заявление о предоставлении земельного участка без проведения торгов возвращается на основании пункта 3 статьи 39.17 ЗК РФ в следующих случаях: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заявление не соответствует положениям подпункта 1 пункта 2.6.1 настоящего Регламента;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заявление подано в иной уполномоченный орган;</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 заявлению не приложены документы, предусмотренные                       подпунктом 2-5 пункта 2.6.1 настоящего Регламента (за исключением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предоставлять).</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2.8. Исчерпывающий перечень оснований для приостановления</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или отказа в предоставлении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2.8.1. Оснований для приостановления предоставления муниципальной услуги действующим законодательством Российской Федерации не предусмотрено.</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2.8.2. Основаниями для предоставления муниципальной услуги, по результатам которой заявителю направляется решение об отказе в предоставлении земельного участка, являются случаи, определенные статьей 39.16 ЗК РФ:</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 с заявлением о предоставлении земельного участка обратилось лицо, которое в соответствии с земельным законодательством Российской Федерации не имеет права на приобретение земельного участка без проведения торгов;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anchor="sub_3910210" w:history="1">
        <w:r>
          <w:rPr>
            <w:rStyle w:val="a6"/>
            <w:rFonts w:ascii="Arial" w:hAnsi="Arial" w:cs="Arial"/>
            <w:color w:val="014591"/>
            <w:sz w:val="21"/>
            <w:szCs w:val="21"/>
          </w:rPr>
          <w:t>подпунктом 10 пункта 2 статьи 39.10</w:t>
        </w:r>
      </w:hyperlink>
      <w:r>
        <w:rPr>
          <w:rFonts w:ascii="Arial" w:hAnsi="Arial" w:cs="Arial"/>
          <w:color w:val="292929"/>
          <w:sz w:val="21"/>
          <w:szCs w:val="21"/>
        </w:rPr>
        <w:t> ЗК РФ;</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anchor="sub_39363" w:history="1">
        <w:r>
          <w:rPr>
            <w:rStyle w:val="a6"/>
            <w:rFonts w:ascii="Arial" w:hAnsi="Arial" w:cs="Arial"/>
            <w:color w:val="014591"/>
            <w:sz w:val="21"/>
            <w:szCs w:val="21"/>
          </w:rPr>
          <w:t>пунктом 3 статьи 39.36</w:t>
        </w:r>
      </w:hyperlink>
      <w:r>
        <w:rPr>
          <w:rFonts w:ascii="Arial" w:hAnsi="Arial" w:cs="Arial"/>
          <w:color w:val="292929"/>
          <w:sz w:val="21"/>
          <w:szCs w:val="21"/>
        </w:rPr>
        <w:t> ЗК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Pr>
          <w:rFonts w:ascii="Arial" w:hAnsi="Arial" w:cs="Arial"/>
          <w:color w:val="292929"/>
          <w:sz w:val="21"/>
          <w:szCs w:val="21"/>
        </w:rPr>
        <w:lastRenderedPageBreak/>
        <w:t>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anchor="sub_391119" w:history="1">
        <w:r>
          <w:rPr>
            <w:rStyle w:val="a6"/>
            <w:rFonts w:ascii="Arial" w:hAnsi="Arial" w:cs="Arial"/>
            <w:color w:val="014591"/>
            <w:sz w:val="21"/>
            <w:szCs w:val="21"/>
          </w:rPr>
          <w:t>пунктом 19 статьи 39.11</w:t>
        </w:r>
      </w:hyperlink>
      <w:r>
        <w:rPr>
          <w:rFonts w:ascii="Arial" w:hAnsi="Arial" w:cs="Arial"/>
          <w:color w:val="292929"/>
          <w:sz w:val="21"/>
          <w:szCs w:val="21"/>
        </w:rPr>
        <w:t> ЗК РФ;</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12) в отношении земельного участка, указанного в заявлении о его предоставлении, поступило предусмотренное </w:t>
      </w:r>
      <w:hyperlink r:id="rId18" w:anchor="sub_391146" w:history="1">
        <w:r>
          <w:rPr>
            <w:rStyle w:val="a6"/>
            <w:rFonts w:ascii="Arial" w:hAnsi="Arial" w:cs="Arial"/>
            <w:color w:val="014591"/>
            <w:sz w:val="21"/>
            <w:szCs w:val="21"/>
          </w:rPr>
          <w:t>подпунктом 6 пункта 4 статьи 39.11</w:t>
        </w:r>
      </w:hyperlink>
      <w:r>
        <w:rPr>
          <w:rFonts w:ascii="Arial" w:hAnsi="Arial" w:cs="Arial"/>
          <w:color w:val="292929"/>
          <w:sz w:val="21"/>
          <w:szCs w:val="21"/>
        </w:rPr>
        <w:t>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sub_391144" w:history="1">
        <w:r>
          <w:rPr>
            <w:rStyle w:val="a6"/>
            <w:rFonts w:ascii="Arial" w:hAnsi="Arial" w:cs="Arial"/>
            <w:color w:val="014591"/>
            <w:sz w:val="21"/>
            <w:szCs w:val="21"/>
          </w:rPr>
          <w:t>подпунктом 4 пункта 4 статьи 39.11</w:t>
        </w:r>
      </w:hyperlink>
      <w:r>
        <w:rPr>
          <w:rFonts w:ascii="Arial" w:hAnsi="Arial" w:cs="Arial"/>
          <w:color w:val="292929"/>
          <w:sz w:val="21"/>
          <w:szCs w:val="21"/>
        </w:rPr>
        <w:t> ЗК РФ и уполномоченным органом не принято решение об отказе в проведении этого аукциона по основаниям, предусмотренным </w:t>
      </w:r>
      <w:hyperlink r:id="rId20" w:anchor="sub_39118" w:history="1">
        <w:r>
          <w:rPr>
            <w:rStyle w:val="a6"/>
            <w:rFonts w:ascii="Arial" w:hAnsi="Arial" w:cs="Arial"/>
            <w:color w:val="014591"/>
            <w:sz w:val="21"/>
            <w:szCs w:val="21"/>
          </w:rPr>
          <w:t>пунктом 8 статьи 39.11</w:t>
        </w:r>
      </w:hyperlink>
      <w:r>
        <w:rPr>
          <w:rFonts w:ascii="Arial" w:hAnsi="Arial" w:cs="Arial"/>
          <w:color w:val="292929"/>
          <w:sz w:val="21"/>
          <w:szCs w:val="21"/>
        </w:rPr>
        <w:t> ЗК РФ;</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13) в отношении земельного участка, указанного в заявлении о его предоставлении, опубликовано и размещено в соответствии с </w:t>
      </w:r>
      <w:hyperlink r:id="rId21" w:anchor="sub_391811" w:history="1">
        <w:r>
          <w:rPr>
            <w:rStyle w:val="a6"/>
            <w:rFonts w:ascii="Arial" w:hAnsi="Arial" w:cs="Arial"/>
            <w:color w:val="014591"/>
            <w:sz w:val="21"/>
            <w:szCs w:val="21"/>
          </w:rPr>
          <w:t>подпунктом 1 пункта 1 статьи 39.18</w:t>
        </w:r>
      </w:hyperlink>
      <w:r>
        <w:rPr>
          <w:rFonts w:ascii="Arial" w:hAnsi="Arial" w:cs="Arial"/>
          <w:color w:val="292929"/>
          <w:sz w:val="21"/>
          <w:szCs w:val="21"/>
        </w:rPr>
        <w:t>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w:t>
      </w:r>
      <w:r>
        <w:rPr>
          <w:rFonts w:ascii="Arial" w:hAnsi="Arial" w:cs="Arial"/>
          <w:color w:val="292929"/>
          <w:sz w:val="21"/>
          <w:szCs w:val="21"/>
        </w:rPr>
        <w:lastRenderedPageBreak/>
        <w:t>указанных нужд, в случае, если подано заявление о предоставлении земельного участка в соответствии с </w:t>
      </w:r>
      <w:hyperlink r:id="rId22" w:anchor="sub_3910210" w:history="1">
        <w:r>
          <w:rPr>
            <w:rStyle w:val="a6"/>
            <w:rFonts w:ascii="Arial" w:hAnsi="Arial" w:cs="Arial"/>
            <w:color w:val="014591"/>
            <w:sz w:val="21"/>
            <w:szCs w:val="21"/>
          </w:rPr>
          <w:t>подпунктом 10 пункта 2 статьи 39.10</w:t>
        </w:r>
      </w:hyperlink>
      <w:r>
        <w:rPr>
          <w:rFonts w:ascii="Arial" w:hAnsi="Arial" w:cs="Arial"/>
          <w:color w:val="292929"/>
          <w:sz w:val="21"/>
          <w:szCs w:val="21"/>
        </w:rPr>
        <w:t> ЗК РФ;</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Алтайского края и с заявлением о предоставлении земельного участка обратилось лицо, не уполномоченное на строительство этих здания, сооружения;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19) предоставление земельного участка на заявленном виде прав не допускается;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20) в отношении земельного участка, указанного в заявлении о его предоставлении, не установлен вид разрешенного использования;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21) указанный в заявлении о предоставлении земельного участка земельный участок не отнесен к определенной категории земель;</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24) границы земельного участка, указанного в заявлении о его предоставлении, подлежат уточнению в соответствии с </w:t>
      </w:r>
      <w:hyperlink r:id="rId23" w:history="1">
        <w:r>
          <w:rPr>
            <w:rStyle w:val="a6"/>
            <w:rFonts w:ascii="Arial" w:hAnsi="Arial" w:cs="Arial"/>
            <w:color w:val="014591"/>
            <w:sz w:val="21"/>
            <w:szCs w:val="21"/>
          </w:rPr>
          <w:t>Федеральным законом</w:t>
        </w:r>
      </w:hyperlink>
      <w:r>
        <w:rPr>
          <w:rFonts w:ascii="Arial" w:hAnsi="Arial" w:cs="Arial"/>
          <w:color w:val="292929"/>
          <w:sz w:val="21"/>
          <w:szCs w:val="21"/>
        </w:rPr>
        <w:t> от 24.07.2007 №221-ФЗ «О государственном кадастре недвижимости»;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26) наличие принятого в отношении земельного участка решения уполномоченного органа о его образовании (формировании) с целью проведения аукциона или решения о проведении аукциона;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27) наличие принятого в отношении земельного участка решения уполномоченного органа об отборе земельных участков для последующего их предоставления жилищно-строительным кооперативам;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28)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09.11.2015 № 98-ЗС «О бесплатном предоставлении в собственность земельных участков»;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29) несоответствие площади земельного участка предельным максимальным и минимальным размерам земельного участка, установленным градостроительными 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30) наличие обеспечительных мер, наложенных в отношении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31) 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32) 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территорий, в которых </w:t>
      </w:r>
      <w:r>
        <w:rPr>
          <w:rFonts w:ascii="Arial" w:hAnsi="Arial" w:cs="Arial"/>
          <w:color w:val="292929"/>
          <w:sz w:val="21"/>
          <w:szCs w:val="21"/>
        </w:rPr>
        <w:lastRenderedPageBreak/>
        <w:t>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33) наличие в отношении земельного участка ранее поданного заявления иных лиц о его предоставлении, за исключением случаев, предусмотренных </w:t>
      </w:r>
      <w:hyperlink r:id="rId24" w:history="1">
        <w:r>
          <w:rPr>
            <w:rStyle w:val="a6"/>
            <w:rFonts w:ascii="Arial" w:hAnsi="Arial" w:cs="Arial"/>
            <w:color w:val="014591"/>
            <w:sz w:val="21"/>
            <w:szCs w:val="21"/>
          </w:rPr>
          <w:t>подпунктами 1</w:t>
        </w:r>
      </w:hyperlink>
      <w:r>
        <w:rPr>
          <w:rFonts w:ascii="Arial" w:hAnsi="Arial" w:cs="Arial"/>
          <w:color w:val="292929"/>
          <w:sz w:val="21"/>
          <w:szCs w:val="21"/>
        </w:rPr>
        <w:t> - </w:t>
      </w:r>
      <w:hyperlink r:id="rId25" w:history="1">
        <w:r>
          <w:rPr>
            <w:rStyle w:val="a6"/>
            <w:rFonts w:ascii="Arial" w:hAnsi="Arial" w:cs="Arial"/>
            <w:color w:val="014591"/>
            <w:sz w:val="21"/>
            <w:szCs w:val="21"/>
          </w:rPr>
          <w:t>7</w:t>
        </w:r>
      </w:hyperlink>
      <w:r>
        <w:rPr>
          <w:rFonts w:ascii="Arial" w:hAnsi="Arial" w:cs="Arial"/>
          <w:color w:val="292929"/>
          <w:sz w:val="21"/>
          <w:szCs w:val="21"/>
        </w:rPr>
        <w:t>, </w:t>
      </w:r>
      <w:hyperlink r:id="rId26" w:history="1">
        <w:r>
          <w:rPr>
            <w:rStyle w:val="a6"/>
            <w:rFonts w:ascii="Arial" w:hAnsi="Arial" w:cs="Arial"/>
            <w:color w:val="014591"/>
            <w:sz w:val="21"/>
            <w:szCs w:val="21"/>
          </w:rPr>
          <w:t>9 пункта 2 статьи 39.3</w:t>
        </w:r>
      </w:hyperlink>
      <w:r>
        <w:rPr>
          <w:rFonts w:ascii="Arial" w:hAnsi="Arial" w:cs="Arial"/>
          <w:color w:val="292929"/>
          <w:sz w:val="21"/>
          <w:szCs w:val="21"/>
        </w:rPr>
        <w:t> и </w:t>
      </w:r>
      <w:hyperlink r:id="rId27" w:history="1">
        <w:r>
          <w:rPr>
            <w:rStyle w:val="a6"/>
            <w:rFonts w:ascii="Arial" w:hAnsi="Arial" w:cs="Arial"/>
            <w:color w:val="014591"/>
            <w:sz w:val="21"/>
            <w:szCs w:val="21"/>
          </w:rPr>
          <w:t>подпунктами 5</w:t>
        </w:r>
      </w:hyperlink>
      <w:r>
        <w:rPr>
          <w:rFonts w:ascii="Arial" w:hAnsi="Arial" w:cs="Arial"/>
          <w:color w:val="292929"/>
          <w:sz w:val="21"/>
          <w:szCs w:val="21"/>
        </w:rPr>
        <w:t> - </w:t>
      </w:r>
      <w:hyperlink r:id="rId28" w:history="1">
        <w:r>
          <w:rPr>
            <w:rStyle w:val="a6"/>
            <w:rFonts w:ascii="Arial" w:hAnsi="Arial" w:cs="Arial"/>
            <w:color w:val="014591"/>
            <w:sz w:val="21"/>
            <w:szCs w:val="21"/>
          </w:rPr>
          <w:t>11</w:t>
        </w:r>
      </w:hyperlink>
      <w:r>
        <w:rPr>
          <w:rFonts w:ascii="Arial" w:hAnsi="Arial" w:cs="Arial"/>
          <w:color w:val="292929"/>
          <w:sz w:val="21"/>
          <w:szCs w:val="21"/>
        </w:rPr>
        <w:t>, </w:t>
      </w:r>
      <w:hyperlink r:id="rId29" w:history="1">
        <w:r>
          <w:rPr>
            <w:rStyle w:val="a6"/>
            <w:rFonts w:ascii="Arial" w:hAnsi="Arial" w:cs="Arial"/>
            <w:color w:val="014591"/>
            <w:sz w:val="21"/>
            <w:szCs w:val="21"/>
          </w:rPr>
          <w:t>13</w:t>
        </w:r>
      </w:hyperlink>
      <w:r>
        <w:rPr>
          <w:rFonts w:ascii="Arial" w:hAnsi="Arial" w:cs="Arial"/>
          <w:color w:val="292929"/>
          <w:sz w:val="21"/>
          <w:szCs w:val="21"/>
        </w:rPr>
        <w:t>, </w:t>
      </w:r>
      <w:hyperlink r:id="rId30" w:history="1">
        <w:r>
          <w:rPr>
            <w:rStyle w:val="a6"/>
            <w:rFonts w:ascii="Arial" w:hAnsi="Arial" w:cs="Arial"/>
            <w:color w:val="014591"/>
            <w:sz w:val="21"/>
            <w:szCs w:val="21"/>
          </w:rPr>
          <w:t>13.1</w:t>
        </w:r>
      </w:hyperlink>
      <w:r>
        <w:rPr>
          <w:rFonts w:ascii="Arial" w:hAnsi="Arial" w:cs="Arial"/>
          <w:color w:val="292929"/>
          <w:sz w:val="21"/>
          <w:szCs w:val="21"/>
        </w:rPr>
        <w:t>, </w:t>
      </w:r>
      <w:hyperlink r:id="rId31" w:history="1">
        <w:r>
          <w:rPr>
            <w:rStyle w:val="a6"/>
            <w:rFonts w:ascii="Arial" w:hAnsi="Arial" w:cs="Arial"/>
            <w:color w:val="014591"/>
            <w:sz w:val="21"/>
            <w:szCs w:val="21"/>
          </w:rPr>
          <w:t>23.1</w:t>
        </w:r>
      </w:hyperlink>
      <w:r>
        <w:rPr>
          <w:rFonts w:ascii="Arial" w:hAnsi="Arial" w:cs="Arial"/>
          <w:color w:val="292929"/>
          <w:sz w:val="21"/>
          <w:szCs w:val="21"/>
        </w:rPr>
        <w:t>, </w:t>
      </w:r>
      <w:hyperlink r:id="rId32" w:history="1">
        <w:r>
          <w:rPr>
            <w:rStyle w:val="a6"/>
            <w:rFonts w:ascii="Arial" w:hAnsi="Arial" w:cs="Arial"/>
            <w:color w:val="014591"/>
            <w:sz w:val="21"/>
            <w:szCs w:val="21"/>
          </w:rPr>
          <w:t>31</w:t>
        </w:r>
      </w:hyperlink>
      <w:r>
        <w:rPr>
          <w:rFonts w:ascii="Arial" w:hAnsi="Arial" w:cs="Arial"/>
          <w:color w:val="292929"/>
          <w:sz w:val="21"/>
          <w:szCs w:val="21"/>
        </w:rPr>
        <w:t>, </w:t>
      </w:r>
      <w:hyperlink r:id="rId33" w:history="1">
        <w:r>
          <w:rPr>
            <w:rStyle w:val="a6"/>
            <w:rFonts w:ascii="Arial" w:hAnsi="Arial" w:cs="Arial"/>
            <w:color w:val="014591"/>
            <w:sz w:val="21"/>
            <w:szCs w:val="21"/>
          </w:rPr>
          <w:t>32 пункта 2 статьи 39.6</w:t>
        </w:r>
      </w:hyperlink>
      <w:r>
        <w:rPr>
          <w:rFonts w:ascii="Arial" w:hAnsi="Arial" w:cs="Arial"/>
          <w:color w:val="292929"/>
          <w:sz w:val="21"/>
          <w:szCs w:val="21"/>
        </w:rPr>
        <w:t> ЗК РФ;</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34) наличие установленного пересечения границ земельного участка с границами иного земельного участка, за исключением случая, если право на такой земельный участок ранее зарегистрировано в установленном федеральным законодательством порядке.</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или информация об отсутствии таких услуг</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Услуги, необходимые и обязательные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2.10. Порядок, размер и основания взимания государственной пошлины или иной платы, установленной за предоставление государственной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Муниципальная услуга предоставляется бесплатно.</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Порядок, размер и основания взимания платы за предоставление услуг, необходимых и обязательных для предоставления муниципальной услуги, отсутствуют.</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Срок ожидания заявителя в очереди при подаче заявления (запроса) о предоставлении муниципальной услуги не должен превышать 15 минут.</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Срок ожидания заявителя в очереди при получении результата предоставления муниципальной услуги не должен превышать 15 минут.</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2.13. Срок регистрации запроса заявителя о предоставлении муниципальной услуги, услуги организации, участвующей                             в ее предоставлении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Сотрудник Комитета, ответственный за прием и регистрацию документов, в течение 1 дня осуществляет регистрацию поступившего, в том числе в электронном виде, заявления (запроса)   в журнале регистрации заявлений.</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Порядок регистрации заявления определен в разделе 3 Регламента.</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2.14. Требования к помещениям, в которых предоставляются муниципальные услуги, услуги организации, участвующей в ее предоставлении,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Помещения, в которых предоставляется муниципальная услуга, места ожидания и приема заявителей должны обеспечивать:</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комфортное расположение заявителя и специалиста Комитета, осуществляющего прием заявления и прилагаемых к нему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возможность и удобство оформления заявителем письменного заявления;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доступ к основным нормативным правовым актам, регламентирующим полномочия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доступ к нормативным правовым актам, регулирующим оказание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наличие письменных принадлежностей, бумаги;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доступ инвалидов к месту предоставления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Доступность предоставления муниципальной услуги для заявителей обеспечивается удобным местоположением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Места ожидания оборудованы столом, стульями для возможности оформления документов, информационными стендами.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Доступ инвалидов к месту предоставления муниципальной услуги осуществляется путем создания следующих условий:</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возможность беспрепятственного входа к месту предоставления муниципальной услуги и выхода из него, содействие инвалиду при входе и выходе из места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возможность самостоятельного передвижения в целях получения доступа к месту предоставления муниципальной услуги, в том числе с помощью специалистов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сопровождение инвалидов и иных маломобильных групп населения при их передвижении в помещениях и на прилегающих территориях с целью оказания им необходимой помощи в преодолении барьеров, мешающих получению муниципальной услуги наравне с другими лицами;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2.15. Показатели доступности и качества муниципальной услуг (своевременность случаев их оказания в установленные сроки, доля заявителей, удовлетворенных качеством процесса оказания услуг, количество взаимодействия заявителя с должностными лицами при предоставлении муниципальной услуги и их продолжительность, возможность ее получения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7125"/>
        <w:gridCol w:w="1200"/>
        <w:gridCol w:w="1180"/>
      </w:tblGrid>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Показатели качества и доступности муниципальной услуги</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Целевое значение показателя</w:t>
            </w:r>
          </w:p>
        </w:tc>
      </w:tr>
      <w:tr w:rsidR="00E513E1" w:rsidTr="00E513E1">
        <w:tc>
          <w:tcPr>
            <w:tcW w:w="0" w:type="auto"/>
            <w:gridSpan w:val="3"/>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1. Своевременность</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1.1. % (доля) случаев предо</w:t>
            </w:r>
            <w:r>
              <w:rPr>
                <w:rFonts w:ascii="Arial" w:hAnsi="Arial" w:cs="Arial"/>
                <w:color w:val="292929"/>
                <w:sz w:val="21"/>
                <w:szCs w:val="21"/>
              </w:rPr>
              <w:softHyphen/>
              <w:t>ставления услуги в установлен</w:t>
            </w:r>
            <w:r>
              <w:rPr>
                <w:rFonts w:ascii="Arial" w:hAnsi="Arial" w:cs="Arial"/>
                <w:color w:val="292929"/>
                <w:sz w:val="21"/>
                <w:szCs w:val="21"/>
              </w:rPr>
              <w:softHyphen/>
              <w:t>ный срок с момента сдачи до</w:t>
            </w:r>
            <w:r>
              <w:rPr>
                <w:rFonts w:ascii="Arial" w:hAnsi="Arial" w:cs="Arial"/>
                <w:color w:val="292929"/>
                <w:sz w:val="21"/>
                <w:szCs w:val="21"/>
              </w:rPr>
              <w:softHyphen/>
              <w:t>кумента</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100 %</w:t>
            </w:r>
          </w:p>
        </w:tc>
      </w:tr>
      <w:tr w:rsidR="00E513E1" w:rsidTr="00E513E1">
        <w:tc>
          <w:tcPr>
            <w:tcW w:w="0" w:type="auto"/>
            <w:gridSpan w:val="3"/>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 Качество</w:t>
            </w:r>
          </w:p>
        </w:tc>
      </w:tr>
      <w:tr w:rsidR="00E513E1" w:rsidTr="00E513E1">
        <w:tc>
          <w:tcPr>
            <w:tcW w:w="0" w:type="auto"/>
            <w:vMerge w:val="restart"/>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2.1. % уровень (доля) удовле</w:t>
            </w:r>
            <w:r>
              <w:rPr>
                <w:rFonts w:ascii="Arial" w:hAnsi="Arial" w:cs="Arial"/>
                <w:color w:val="292929"/>
                <w:sz w:val="21"/>
                <w:szCs w:val="21"/>
              </w:rPr>
              <w:softHyphen/>
              <w:t>творённости граждан качеством предоставления государствен</w:t>
            </w:r>
            <w:r>
              <w:rPr>
                <w:rFonts w:ascii="Arial" w:hAnsi="Arial" w:cs="Arial"/>
                <w:color w:val="292929"/>
                <w:sz w:val="21"/>
                <w:szCs w:val="21"/>
              </w:rPr>
              <w:softHyphen/>
              <w:t>ной услуги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2016</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2019 год</w:t>
            </w:r>
          </w:p>
        </w:tc>
      </w:tr>
      <w:tr w:rsidR="00E513E1" w:rsidTr="00E513E1">
        <w:tc>
          <w:tcPr>
            <w:tcW w:w="0" w:type="auto"/>
            <w:vMerge/>
            <w:tcBorders>
              <w:top w:val="outset" w:sz="2" w:space="0" w:color="auto"/>
              <w:left w:val="outset" w:sz="2" w:space="0" w:color="auto"/>
              <w:bottom w:val="single" w:sz="6" w:space="0" w:color="D1D1D1"/>
              <w:right w:val="outset" w:sz="2" w:space="0" w:color="auto"/>
            </w:tcBorders>
            <w:shd w:val="clear" w:color="auto" w:fill="F2FAFE"/>
            <w:vAlign w:val="center"/>
            <w:hideMark/>
          </w:tcPr>
          <w:p w:rsidR="00E513E1" w:rsidRDefault="00E513E1">
            <w:pPr>
              <w:rPr>
                <w:rFonts w:ascii="Arial" w:hAnsi="Arial" w:cs="Arial"/>
                <w:color w:val="292929"/>
                <w:sz w:val="21"/>
                <w:szCs w:val="21"/>
              </w:rPr>
            </w:pPr>
          </w:p>
        </w:tc>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менее 70%</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менее 90%</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2.2. % (доля) случаев правильно оформленных документов должностным лицом (регистра</w:t>
            </w:r>
            <w:r>
              <w:rPr>
                <w:rFonts w:ascii="Arial" w:hAnsi="Arial" w:cs="Arial"/>
                <w:color w:val="292929"/>
                <w:sz w:val="21"/>
                <w:szCs w:val="21"/>
              </w:rPr>
              <w:softHyphen/>
              <w:t>ция)</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100 %</w:t>
            </w:r>
          </w:p>
        </w:tc>
      </w:tr>
      <w:tr w:rsidR="00E513E1" w:rsidTr="00E513E1">
        <w:tc>
          <w:tcPr>
            <w:tcW w:w="0" w:type="auto"/>
            <w:gridSpan w:val="3"/>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3. Доступность</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3.1. % (доля) заявителей, удо</w:t>
            </w:r>
            <w:r>
              <w:rPr>
                <w:rFonts w:ascii="Arial" w:hAnsi="Arial" w:cs="Arial"/>
                <w:color w:val="292929"/>
                <w:sz w:val="21"/>
                <w:szCs w:val="21"/>
              </w:rPr>
              <w:softHyphen/>
              <w:t>влетворённых качеством и ин</w:t>
            </w:r>
            <w:r>
              <w:rPr>
                <w:rFonts w:ascii="Arial" w:hAnsi="Arial" w:cs="Arial"/>
                <w:color w:val="292929"/>
                <w:sz w:val="21"/>
                <w:szCs w:val="21"/>
              </w:rPr>
              <w:softHyphen/>
              <w:t>формацией о порядке предо</w:t>
            </w:r>
            <w:r>
              <w:rPr>
                <w:rFonts w:ascii="Arial" w:hAnsi="Arial" w:cs="Arial"/>
                <w:color w:val="292929"/>
                <w:sz w:val="21"/>
                <w:szCs w:val="21"/>
              </w:rPr>
              <w:softHyphen/>
              <w:t>ставления услуги</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менее 70 %</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3.2. % (доля) случаев правильно заполненных заявителем доку</w:t>
            </w:r>
            <w:r>
              <w:rPr>
                <w:rFonts w:ascii="Arial" w:hAnsi="Arial" w:cs="Arial"/>
                <w:color w:val="292929"/>
                <w:sz w:val="21"/>
                <w:szCs w:val="21"/>
              </w:rPr>
              <w:softHyphen/>
              <w:t>ментов и сданных с первого раза</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менее 70 %</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3.3. % (доля) заявителей, счи</w:t>
            </w:r>
            <w:r>
              <w:rPr>
                <w:rFonts w:ascii="Arial" w:hAnsi="Arial" w:cs="Arial"/>
                <w:color w:val="292929"/>
                <w:sz w:val="21"/>
                <w:szCs w:val="21"/>
              </w:rPr>
              <w:softHyphen/>
              <w:t>тающих, что представленная информация об услуге в сети Интернет доступна и понятна</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менее 80 %</w:t>
            </w:r>
          </w:p>
        </w:tc>
      </w:tr>
      <w:tr w:rsidR="00E513E1" w:rsidTr="00E513E1">
        <w:tc>
          <w:tcPr>
            <w:tcW w:w="0" w:type="auto"/>
            <w:gridSpan w:val="3"/>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4. Процесс обжалования</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4.1. % (доля) обоснованных жа</w:t>
            </w:r>
            <w:r>
              <w:rPr>
                <w:rFonts w:ascii="Arial" w:hAnsi="Arial" w:cs="Arial"/>
                <w:color w:val="292929"/>
                <w:sz w:val="21"/>
                <w:szCs w:val="21"/>
              </w:rPr>
              <w:softHyphen/>
              <w:t>лоб общему количеству обслу</w:t>
            </w:r>
            <w:r>
              <w:rPr>
                <w:rFonts w:ascii="Arial" w:hAnsi="Arial" w:cs="Arial"/>
                <w:color w:val="292929"/>
                <w:sz w:val="21"/>
                <w:szCs w:val="21"/>
              </w:rPr>
              <w:softHyphen/>
              <w:t>женных заявителей по данному виду услуг</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более 5 %</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4.2. % (доля) жалоб, рассмот</w:t>
            </w:r>
            <w:r>
              <w:rPr>
                <w:rFonts w:ascii="Arial" w:hAnsi="Arial" w:cs="Arial"/>
                <w:color w:val="292929"/>
                <w:sz w:val="21"/>
                <w:szCs w:val="21"/>
              </w:rPr>
              <w:softHyphen/>
              <w:t>ренных в установленный срок</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100 %</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4.3. % (доля) заявителей, удо</w:t>
            </w:r>
            <w:r>
              <w:rPr>
                <w:rFonts w:ascii="Arial" w:hAnsi="Arial" w:cs="Arial"/>
                <w:color w:val="292929"/>
                <w:sz w:val="21"/>
                <w:szCs w:val="21"/>
              </w:rPr>
              <w:softHyphen/>
              <w:t>влетворённых существующим порядком обжалования</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менее 70 %</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4.4. % (доля) заявителей, удо</w:t>
            </w:r>
            <w:r>
              <w:rPr>
                <w:rFonts w:ascii="Arial" w:hAnsi="Arial" w:cs="Arial"/>
                <w:color w:val="292929"/>
                <w:sz w:val="21"/>
                <w:szCs w:val="21"/>
              </w:rPr>
              <w:softHyphen/>
              <w:t>влетворённых сроками обжало</w:t>
            </w:r>
            <w:r>
              <w:rPr>
                <w:rFonts w:ascii="Arial" w:hAnsi="Arial" w:cs="Arial"/>
                <w:color w:val="292929"/>
                <w:sz w:val="21"/>
                <w:szCs w:val="21"/>
              </w:rPr>
              <w:softHyphen/>
              <w:t>вания</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менее 90 %</w:t>
            </w:r>
          </w:p>
        </w:tc>
      </w:tr>
      <w:tr w:rsidR="00E513E1" w:rsidTr="00E513E1">
        <w:tc>
          <w:tcPr>
            <w:tcW w:w="0" w:type="auto"/>
            <w:gridSpan w:val="3"/>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5. Вежливость</w:t>
            </w:r>
          </w:p>
        </w:tc>
      </w:tr>
      <w:tr w:rsidR="00E513E1" w:rsidTr="00E513E1">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5.1. % (доля) заявителей, удо</w:t>
            </w:r>
            <w:r>
              <w:rPr>
                <w:rFonts w:ascii="Arial" w:hAnsi="Arial" w:cs="Arial"/>
                <w:color w:val="292929"/>
                <w:sz w:val="21"/>
                <w:szCs w:val="21"/>
              </w:rPr>
              <w:softHyphen/>
              <w:t>влетворённых вежливостью должностных лиц</w:t>
            </w:r>
          </w:p>
        </w:tc>
        <w:tc>
          <w:tcPr>
            <w:tcW w:w="0" w:type="auto"/>
            <w:gridSpan w:val="2"/>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E513E1" w:rsidRDefault="00E513E1">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не менее 90 %</w:t>
            </w:r>
          </w:p>
        </w:tc>
      </w:tr>
    </w:tbl>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Количество взаимодействий заявителя с должностными лицами и муниципальными служащими при предоставлении муниципальной услуги до момента направления (выдачи) заявителю документа, являющегося результатом предоставления муниципальной услуги, не должно превышать двух раз.</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2.16. Иные требования, в том числе учитывающие особенности предоставления муниципальной услуг в многофункциональных центрах и особенности предоставления в электронной форме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Предоставление муниципальной услуги осуществляется на рабочих местах Комитета, а также на удалённых рабочих местах Комитета, расположенных в КАУ «Многофункциональный центр предоставления государственных и муниципальных услуг Алтайского края» .</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Орган, предоставляющий муниципальную услугу, обеспечивает возможность получения заявителями информации о предоставляемой муниципальной услуге на сайте администрации города Алейска, на информационных стендах КАУ «Многофункциональный центр предоставления государственных и муниципальных услуг Алтайского края», едином портале.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Орган, предоставляющий муниципальную услугу, обеспечивает возможность получения заявителями на сайте администрации города Алейска, едином портале рекомендуемой формы заявления.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34" w:history="1">
        <w:r>
          <w:rPr>
            <w:rStyle w:val="a6"/>
            <w:rFonts w:ascii="Arial" w:hAnsi="Arial" w:cs="Arial"/>
            <w:color w:val="014591"/>
            <w:sz w:val="21"/>
            <w:szCs w:val="21"/>
          </w:rPr>
          <w:t>Федерального закона</w:t>
        </w:r>
      </w:hyperlink>
      <w:r>
        <w:rPr>
          <w:rFonts w:ascii="Arial" w:hAnsi="Arial" w:cs="Arial"/>
          <w:color w:val="292929"/>
          <w:sz w:val="21"/>
          <w:szCs w:val="21"/>
        </w:rPr>
        <w:t> от 06.04.2011 №63-ФЗ «Об электронной подписи», </w:t>
      </w:r>
      <w:hyperlink r:id="rId35" w:history="1">
        <w:r>
          <w:rPr>
            <w:rStyle w:val="a6"/>
            <w:rFonts w:ascii="Arial" w:hAnsi="Arial" w:cs="Arial"/>
            <w:color w:val="014591"/>
            <w:sz w:val="21"/>
            <w:szCs w:val="21"/>
          </w:rPr>
          <w:t>Федерального закона</w:t>
        </w:r>
      </w:hyperlink>
      <w:r>
        <w:rPr>
          <w:rFonts w:ascii="Arial" w:hAnsi="Arial" w:cs="Arial"/>
          <w:color w:val="292929"/>
          <w:sz w:val="21"/>
          <w:szCs w:val="21"/>
        </w:rPr>
        <w:br/>
        <w:t>от 27.07.2010 №210-ФЗ «Об организации предоставления государственных и муниципальных услуг» и приказа Минэкономразвития России</w:t>
      </w:r>
      <w:r>
        <w:rPr>
          <w:rFonts w:ascii="Arial" w:hAnsi="Arial" w:cs="Arial"/>
          <w:color w:val="292929"/>
          <w:sz w:val="21"/>
          <w:szCs w:val="21"/>
        </w:rPr>
        <w:br/>
        <w:t>от 14.01.2015 №7.</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3.1. Состав, последовательность выполнения административных процедур</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3.1.1. Предоставление муниципальной услуги включает в себя следующие административные процедуры, представленные в виде блок-схемы в </w:t>
      </w:r>
      <w:hyperlink r:id="rId36" w:anchor="sub_50000" w:history="1">
        <w:r>
          <w:rPr>
            <w:rStyle w:val="a6"/>
            <w:rFonts w:ascii="Arial" w:hAnsi="Arial" w:cs="Arial"/>
            <w:color w:val="014591"/>
            <w:sz w:val="21"/>
            <w:szCs w:val="21"/>
          </w:rPr>
          <w:t>приложении </w:t>
        </w:r>
      </w:hyperlink>
      <w:r>
        <w:rPr>
          <w:rFonts w:ascii="Arial" w:hAnsi="Arial" w:cs="Arial"/>
          <w:color w:val="292929"/>
          <w:sz w:val="21"/>
          <w:szCs w:val="21"/>
        </w:rPr>
        <w:t>3 к Регламенту:</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 прием, регистрация письменного заявления и приложенных к нему документов, либо заявления и приложенных к нему документов, поступивших в электронной форме, в том числе через единый портал, необходимого для предоставления муниципальной услуги, с описью прилагаемых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 составление резолюции председателем Комитета и (или) заместителем председателя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 определение специалиста, ответственного за предоставление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4) возврат заявления и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5) рассмотрение заявления и приложенных к нему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6) подготовка результатов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7) выдача (направление) результатов предоставления муниципальной услуги.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3.2. Сроки административных процедур и требования к порядку выполнения административных процедур</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3.2.1. Прием, регистрация письменного заявления и приложенных к нему документов, либо заявления и приложенных к нему документов, поступивших в электронной форме, в том числе через единый портал, необходимого для предоставления муниципальной услуги, с описью прилагаемых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Основанием для приема, регистрации заявления и приложенных к нему документов (далее - заявление) является его поступление в Комитет.</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Сотрудник Комитета ответственный за прием и регистрацию документов, непосредственно в день подачи заявления: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устанавливает личность заявителя, полномочия его представителя;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устанавливает наличие документов, указанных в приложении к заявлению;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 подаче заявления лично оформляет заявление и составляет опись приложенных к заявлению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устанавливает верность приложенных к заявлению копий документов путем их сверки с подлинниками, заверяет их и возвращает подлинники заявителю;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передаёт заявление председателю Комитета или заместителю председателя комитета для составления резолюции.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 получении заявления, поступившего в электронной форме,                в том числе через единый портал, заявление регистрируется датой его поступления, с учетом очередности.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случае поступления такого заявления после завершения рабочего времени или в выходной день, заявление регистрируется в начале следующего рабочего дня в последовательности поступления заявок в нерабочее время.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Максимальный срок выполнения данной административной процедуры - 1 день со дня поступления заявления.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Результатом административной процедуры является прием и регистрация заявления.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3.2.2. Составление резолюции председателе Комитета или заместителем председателя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Председатель Комитета и (или) заместитель Председателя Комитета после передачи им на бумажном носителе заявления составляют резолюцию о его исполнении и направлении специалисту.</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Максимальный срок выполнения административной процедуры –                     1 день с момента передачи на бумажном носителе заявления.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Результатом административной процедуры является определение ответственного сотрудника, который осуществляет анализ полноты предоставленных документов и их соответствие установленным формам,                   а также обеспечивает подготовку документов, являющихся результатом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3.2.3. Возврат заявления и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Ответственный сотрудник в течение 3 дней со дня поступления к нему заявления проверяет наличие (отсутствие) оснований для возврата заявления, указанных в пункте 2.7.2 Регламента.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 наличии указанных в пункте 2.7.2 Регламента оснований для возврата заявления ответственный сотрудник в течение 3 дней готовит на официальном бланке проект уведомления о возврате заявления с указанием причин возврата и передает его на подписание председателю Комитета или заместителю председателя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Проект уведомления о возврате заявления подписывается председателем Комитета или заместителем председателя Комитета в течение 1 дня с момента передачи проекта уведомления о возврате заявления на визирование.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течение 1 дня с момента подписания уведомления о возврате заявления документ регистрируется ответственным специалистом, при этом: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 экземпляр уведомления о возврате заявления с визами хранится в Комитете.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3.2.4. Рассмотрение заявления и приложенных к нему документов.</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Рассмотрение заявления и приложенных к нему документов осуществляется ответственным сотрудником в порядке поступления.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В случае отсутствия оснований для возврата заявления ответственный сотрудник в течение 2 дней с момента получения заявления осуществляет анализ полноты прилагаемых к заявлению документов, направляет запросы в соответствующие органы государственной власти, органы местного самоуправления, в случае необходимости получения документов, указанных в пункте 2.6.2 Регламента, взаимодействует по каналам системы межведомственного электронного взаимодействия с Федеральной налоговой службой, Федеральной службой государственной регистрации, кадастра и картографии, Федеральным государственным бюджетным учреждением «Федеральная кадастровая палата», </w:t>
      </w:r>
      <w:r>
        <w:rPr>
          <w:rFonts w:ascii="Arial" w:hAnsi="Arial" w:cs="Arial"/>
          <w:color w:val="292929"/>
          <w:sz w:val="21"/>
          <w:szCs w:val="21"/>
        </w:rPr>
        <w:lastRenderedPageBreak/>
        <w:t>Федеральной миграционной службой, Пенсионным фондом Российской Федерации, органами местного самоуправления путём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Межведомственный запрос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наименование органа, направляющего межведомственный запрос;</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наименование органа, в адрес которого направляется межведомственный запрос;</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контактная информация для направления ответа на межведомственный запрос;</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дата направления межведомственного запроса;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Средства электронной подписи, используемые для формирования электронной подписи в процессе межведомственного взаимодействия, должны соответствовать требованиям к обеспечению совместимости средств электронной подписи при организации электронного взаимодействия органов исполнительной власти между собой, утверждённым постановлением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Ответственный сотрудник осуществляет прием документов, предоставленных в рамках межведомственного информационного взаимодействия, ответов на запросы в день их поступления и приобщает к заявлению.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течение 9 дней с момента установления отсутствия необходимости направления запросов, в том числе в рамках межведомственного информационного взаимодействия, получения ответов на такие запросы ответственный специалист проверяет:</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соответствие документов, приложенных к заявлению требованиям, установленным Регламентом, за исключением документов, которые не могут быть затребованы у заявителя;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соответствие сведений, указанных в заявлении, сведениям, содержащимся в приложенных к заявлению документах;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наличие (отсутствие) противоречий в представленных заявителем документах (информации, сведениях, данных);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наличие (отсутствие) оснований для предоставления муниципальной услуги или отказа в предоставлении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Результатом выполнения административной процедуры является установление оснований для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Максимальный срок выполнения административной процедуры не должен превышать 11 дней со дня поступления заявления к ответственному сотруднику.</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3.2.5. Подготовка результатов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 результатам рассмотрения заявления и приложенных к нему документов ответственный сотрудник в течение 7 дней с момента установления оснований для предоставлении муниципальной услуги осуществляет следующие действия по подготовке результатов предоставления муниципальной услуги (далее – документ, являющийся результатом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при наличии оснований для отказа в предоставлении земельного участка, предусмотренных пунктом 2.8.2 Регламента, готовит на официальном бланке Комитета проект решения об </w:t>
      </w:r>
      <w:r>
        <w:rPr>
          <w:rFonts w:ascii="Arial" w:hAnsi="Arial" w:cs="Arial"/>
          <w:color w:val="292929"/>
          <w:sz w:val="21"/>
          <w:szCs w:val="21"/>
        </w:rPr>
        <w:lastRenderedPageBreak/>
        <w:t>отказе в предоставлении земельного участка с указанием причин, послуживших основанием для отказа;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 отсутствии оснований для отказа, в предоставлении земельного участка, предусмотренных пунктом 2.8.2 Регламента готовит проект одного из следующих документов, являющихся результатом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решения о предоставлении земельного участка в собственность бесплатно;</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решения о предоставлении земельного участка в постоянное (бессрочное) пользование;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договора аренды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договора купли-продажи земельного участка;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договора безвозмездного пользования земельным участком.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После подготовки проекта документа, являющегося результатом предоставления муниципальной услуги, ответственный сотрудник передает его на подписание председателю Комитета или заместителю председателя Комитета в соответствии с распределением должностных обязанностей.</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Проект документа, являющегося результатом предоставления муниципальной услуги, подписывается руководителем в течение 2 дней с момента передачи проекта документа, являющегося результатом предоставления муниципальной услуги, на визирование.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Максимальный срок выполнения административной процедуры по подготовке результатов предоставления муниципальной услуги составляет 13 дней.</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Результатом административной процедуры по подготовке результатов предоставления муниципальной услуги является подписание должностным лицом документа, являющегося результатом предоставления муниципальной услуги, и его передача для выдачи (направления) заявителю.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3.2.6. Выдача (направление) результатов предоставления государственной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Документ, являющийся результатом предоставления муниципальной услуги в форме решения об отказе в предоставлении земельного участка,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регистрируется ответственным за делопроизводство специалистом при выдаче заявителю при личном обращении.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Документ, являющийся результатом предоставления муниципальной услуги, не позднее 1 дня с момента регистрации отправляется заявителю по почте.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Экземпляр документа, являющегося результатом предоставления муниципальной услуги, в форме решения об отказе в предоставлении земельного участка,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хранится в Комитете. Экземпляр документа, являющегося результатом предоставления муниципальной услуги, на котором расписывается в получении заявитель (в случае выдачи документа заявителю при личном обращении), остается Комитете.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Максимальный срок выполнения административной процедуры по выдаче (направлению) результатов предоставления муниципальной услуги составляет 3 дня.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Результатом административной процедуры по выдаче (направлению) результатов предоставления муниципальной услуги является выдача (направление) результата предоставления муниципальной услуги заявителю.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3.2.7. Срок предоставления муниципальной услуги может быть продлен не более чем на 30 дней в следующих случаях: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наличие противоречий в представленных заявителем документах (информации, сведениях, данных);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направление запросов в соответствующие органы государственной власти, органы местного самоуправления в случае наличия противоречий в документах, представленных заявителем, и документах, получаемых Комитетом в соответствии с пунктом 2.6.2 настоящего Регламента, а также в случае отсутствия сведений из государственного кадастра недвижимости, ЕГРП, ЕГРЮЛ, ЕГРИП.</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3.3. Порядок осуществления отдельных административных процедур в электронной форме, в том числе с использованием</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единого портала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Предоставление информации заявителям и обеспечение доступа заявителей к сведениям о муниципальной услуге осуществляются путём размещения информации о порядке предоставления муниципальной услуги на официальном сайте администрации города Алейска и на едином портале.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Подача заявителем запроса и иных документов, необходимых для предоставления муниципальной услуги, и приём таких запросов и документов могут осуществляться путём направления электронных писем на адрес электронной почты Комитета согласно пункту 2.6.4 настоящего Регламента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Получение заявителем сведений о ходе рассмотрения его заявления может осуществляться путём направления соответствующих запросов на адрес электронной почты Комитета и получения ответов на запросы.</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случае предоставления муниципальной услуги в электронной форме, ответственный сотрудник не позднее 1 дня с момента регистрации решения Комитета о предоставлении земельного участка, в зависимости от того, какой способ предоставления результатов указан заявителем, направляет в Личный кабинет заявителя на едином портале либо на адрес электронной почты сообщение о необходимости явиться за получением документа, являющегося результатом предоставления муниципальной услуги или сообщение о направлении такого документа посредством почтового отправления.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случае, если результатом предоставления муниципальной услуги является решение об отказе в предоставлении земельного участка, ответственный сотрудник не позднее 1 дня с момента регистрации соответствующего решения Комитета, в зависимости от того, какой способ предоставления результатов указан заявителем, направляет в Личный кабинет заявителя на едином портале либо на адрес электронной почты сообщение о необходимости явиться за получением документа, являющегося результатом предоставления муниципальной услуги, или сообщение о направлении такого документа посредством почтового отправления, либо направляет на адрес электронной почты соответствующее решение в виде электронного документа.</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4. Формы контроля за предоставлением муниципальной услуги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4.1. Порядок осуществления текущего контроля за соблюдением</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и исполнением ответственными должностными лицами положений    </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Регламента и иных нормативных правовых актов, устанавливающих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требования к предоставлению муниципальной услуги, а также         </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принятием решений ответственными лицами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Основной целью системы контроля является обеспечение эффективности управления посредством принятия своевременных мер по предоставлению муниципальной услуги, принятию решений ответственными лицами.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Текущий контроль за соблюдением и исполнением ответственными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Комитета осуществляется председателем Комитета.</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Периодичность осуществления проверок полноты и качества предоставления муниципальной услуги устанавливается председетелем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Проверки могут быть плановыми (осуществляться на основании планов работы) и внеплановыми.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Внеплановые проверки могут проводиться в случае обращения заявителя с жалобой на действия (бездействие) и решения, принятые (осуществляемые) в ходе предоставления муниципальных услуг должностными лицами, муниципальными служащими Комитета.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4.3. Ответственность муниципальных служащих Комитета                 за решения и действия (бездействие), принимаемые (осуществляемые)             в ходе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Персональная ответственность сотрудника Комитета закрепляется в его должностном регламенте в соответствии с требованиями законодательства.</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случае выявления нарушений виновное лицо привлекается к ответственности в порядке, установленном законодательством Российской Федерации.</w:t>
      </w:r>
    </w:p>
    <w:p w:rsidR="00E513E1" w:rsidRDefault="00E513E1" w:rsidP="00E513E1">
      <w:pPr>
        <w:pStyle w:val="2"/>
        <w:shd w:val="clear" w:color="auto" w:fill="FFFFFF"/>
        <w:spacing w:before="0" w:beforeAutospacing="0" w:after="225" w:afterAutospacing="0"/>
        <w:jc w:val="center"/>
        <w:rPr>
          <w:rFonts w:ascii="Georgia" w:hAnsi="Georgia"/>
          <w:b w:val="0"/>
          <w:bCs w:val="0"/>
          <w:color w:val="333333"/>
          <w:sz w:val="30"/>
          <w:szCs w:val="30"/>
        </w:rPr>
      </w:pPr>
      <w:r>
        <w:rPr>
          <w:rFonts w:ascii="Georgia" w:hAnsi="Georgia"/>
          <w:b w:val="0"/>
          <w:bCs w:val="0"/>
          <w:color w:val="333333"/>
          <w:sz w:val="30"/>
          <w:szCs w:val="30"/>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5.1. Информация для заинтересованных лиц об их праве на досудебное (внесудебное) обжалование действий (бездействия) органа, предоставляющего муниципальную услугу, а также должностных лиц, муниципальных служащих и решений, принятых (осуществляемых) входе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Заявители имеют право на досудебное (внесудебное) обжалование решений и действий (бездействия) Комитета, должностных лиц Комитета либо муниципальных служащих при предоставлении ими муниципальной услуги.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5.2. Предмет досудебного (внесудебного) обжалования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Заявитель может обратиться с жалобой, в том числе в следующих случаях: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нарушение срока регистрации запроса заявителя о предоставлении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нарушение срока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требование у заявителя документов, не предусмотренных нормативными правовыми актами Российской Федерации и Алтайского края для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отказ заявителю в приеме документов, представление которых предусмотрено нормативными правовыми актами Российской Федерации и Алтайского края для предоставления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Алтайского края;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требование с заявителя при предоставлении муниципальной услуги платы, не предусмотренной нормативными правовыми актами Российской Федерации и Алтайского края;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5.3. Исчерпывающий перечень оснований не давать</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ответ заявителю, не направлять ответ по существу</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Должностное лицо,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случае, если в жалобе не указаны фамилия гражданина, направившего обращение, или почтовый адрес, по которому должен быть направлен ответ, ответ на жалобу не дается.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Если текст жалобы не поддается прочтению, ответ на жалобу не дается, о чем сообщается заявителю, направившему жалобу, в течение семи дней со дня регистрации жалобы, если его фамилия и почтовый адрес поддаются прочтению.</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5.4. Информация о праве заинтересованных лиц на получение</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сведений и документов, необходимых для обоснования                                и рассмотрения жалобы (претензии)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Информирование заинтересованных лиц о получении сведений и документов, необходимых для обоснования и рассмотрения жалобы (претензии), обеспечивает Комитет путем:</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оснащения мест приема жалоб;</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информирования заявителей о порядке обжалования решений и действий (бездействия) Комитета, их должностных лиц либо муниципальных служащих посредством размещения информации на стендах в Комитете, на официальном сайте, на едином портале;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консультирования заявителей о порядке обжалования решений и действий (бездействия) Комитета, его должностных лиц либо муниципальных служащих, в том числе по телефону, электронной почте, при личном приеме.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оформленная в соответствии с законодательством Российской Федерации доверенность.</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 подаче жалобы в электронном виде документ, подтверждающий полномочия представителя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Жалоба должна содержать:</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фамилию,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5.5. Органы местного самоуправления и должностные лица,</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которым может быть адресована жалоба (претензия) заявителя</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в досудебном (внесудебном) порядке</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Жалобы на решения, действия (бездействия) должностных лиц Комитета подаются в Комитет.</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Жалобы на решения, действия (бездействия), принятые председателем Комитета подаются в Администрацию города Алейска Алтайского края.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Жалоба может быть направлена по почте, в электронном виде на адрес электронной  почты  Комитета, с использованием единого портала, а также может быть принята при личном приеме заявителя.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Прием жалоб в письменной форме осуществляется Комитетом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Время приёма жалоб совпадает со временем предоставления муниципальной услуги.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5.6. Сроки рассмотрения жалобы (претензии)</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13E1" w:rsidRDefault="00E513E1" w:rsidP="00E513E1">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5.7. Результат досудебного (внесудебного) обжалования применительно к каждой процедуре либо инстанции обжалования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По результатам рассмотрения жалобы орган, предоставляющий муниципальную услугу, принимает одно из следующих решений:</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1) удовлетворяет жалобу, в том числе в форме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2) отказывает в удовлетворении жалобы.</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w:t>
      </w:r>
      <w:r>
        <w:rPr>
          <w:rFonts w:ascii="Arial" w:hAnsi="Arial" w:cs="Arial"/>
          <w:color w:val="292929"/>
          <w:sz w:val="21"/>
          <w:szCs w:val="21"/>
        </w:rPr>
        <w:lastRenderedPageBreak/>
        <w:t>не позднее 5 рабочих дней со дня принятия решения, если иное не установлено законодательством Российской Федерации и Алтайского края.</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3E1" w:rsidRDefault="00E513E1" w:rsidP="00E513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Ответ по результатам рассмотрения жалобы подписывается уполномоченным на рассмотрение жалобы должностным лицом, наделенным полномочиями по рассмотрению жалоб.</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bookmarkStart w:id="0" w:name="_GoBack"/>
      <w:bookmarkEnd w:id="0"/>
      <w:r w:rsidRPr="00E54756">
        <w:rPr>
          <w:rFonts w:ascii="Times New Roman" w:eastAsia="Times New Roman" w:hAnsi="Times New Roman" w:cs="Times New Roman"/>
          <w:color w:val="292929"/>
          <w:sz w:val="24"/>
          <w:szCs w:val="24"/>
          <w:lang w:eastAsia="ru-RU"/>
        </w:rPr>
        <w:t> </w:t>
      </w:r>
    </w:p>
    <w:p w:rsidR="00E54756" w:rsidRDefault="00E54756"/>
    <w:sectPr w:rsidR="00E54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B64F0"/>
    <w:rsid w:val="001902F0"/>
    <w:rsid w:val="001A339F"/>
    <w:rsid w:val="00401571"/>
    <w:rsid w:val="004F151C"/>
    <w:rsid w:val="005B4CF5"/>
    <w:rsid w:val="00811099"/>
    <w:rsid w:val="008C3C19"/>
    <w:rsid w:val="00A65CBC"/>
    <w:rsid w:val="00A8772D"/>
    <w:rsid w:val="00AC143C"/>
    <w:rsid w:val="00B51DE2"/>
    <w:rsid w:val="00CF3AF4"/>
    <w:rsid w:val="00E513E1"/>
    <w:rsid w:val="00E54756"/>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57414.0" TargetMode="External"/><Relationship Id="rId18" Type="http://schemas.openxmlformats.org/officeDocument/2006/relationships/hyperlink" Target="https://aleysk22.ru/regulatory/official_docs/municipalnye_u_3/imushestvennye_i/10719/" TargetMode="External"/><Relationship Id="rId26" Type="http://schemas.openxmlformats.org/officeDocument/2006/relationships/hyperlink" Target="consultantplus://offline/ref=4E414F11FDDD10DB58AB417104AF5265F7FDDF494103F97D46CF40D8351B336C54D206157Ft3KCJ" TargetMode="External"/><Relationship Id="rId3" Type="http://schemas.microsoft.com/office/2007/relationships/stylesWithEffects" Target="stylesWithEffects.xml"/><Relationship Id="rId21" Type="http://schemas.openxmlformats.org/officeDocument/2006/relationships/hyperlink" Target="https://aleysk22.ru/regulatory/official_docs/municipalnye_u_3/imushestvennye_i/10719/" TargetMode="External"/><Relationship Id="rId34" Type="http://schemas.openxmlformats.org/officeDocument/2006/relationships/hyperlink" Target="garantf1://12084522.0" TargetMode="External"/><Relationship Id="rId7" Type="http://schemas.openxmlformats.org/officeDocument/2006/relationships/hyperlink" Target="mailto:kumi_aleisk@mail.ru" TargetMode="External"/><Relationship Id="rId12" Type="http://schemas.openxmlformats.org/officeDocument/2006/relationships/hyperlink" Target="garantf1://12054874.0" TargetMode="External"/><Relationship Id="rId17" Type="http://schemas.openxmlformats.org/officeDocument/2006/relationships/hyperlink" Target="https://aleysk22.ru/regulatory/official_docs/municipalnye_u_3/imushestvennye_i/10719/" TargetMode="External"/><Relationship Id="rId25" Type="http://schemas.openxmlformats.org/officeDocument/2006/relationships/hyperlink" Target="consultantplus://offline/ref=4E414F11FDDD10DB58AB417104AF5265F7FDDF494103F97D46CF40D8351B336C54D206157Ft3KAJ" TargetMode="External"/><Relationship Id="rId33" Type="http://schemas.openxmlformats.org/officeDocument/2006/relationships/hyperlink" Target="consultantplus://offline/ref=4E414F11FDDD10DB58AB417104AF5265F7FDDF494103F97D46CF40D8351B336C54D2061572t3K1J"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eysk22.ru/regulatory/official_docs/municipalnye_u_3/imushestvennye_i/10719/" TargetMode="External"/><Relationship Id="rId20" Type="http://schemas.openxmlformats.org/officeDocument/2006/relationships/hyperlink" Target="https://aleysk22.ru/regulatory/official_docs/municipalnye_u_3/imushestvennye_i/10719/" TargetMode="External"/><Relationship Id="rId29" Type="http://schemas.openxmlformats.org/officeDocument/2006/relationships/hyperlink" Target="consultantplus://offline/ref=4E414F11FDDD10DB58AB417104AF5265F7FDDF494103F97D46CF40D8351B336C54D2061573t3K8J" TargetMode="External"/><Relationship Id="rId1" Type="http://schemas.openxmlformats.org/officeDocument/2006/relationships/numbering" Target="numbering.xml"/><Relationship Id="rId6" Type="http://schemas.openxmlformats.org/officeDocument/2006/relationships/hyperlink" Target="consultantplus://offline/ref=25E02AC3A1B0EDED9977F65CE5CF8B838E8AA092824F7071369F9B60917FA4F" TargetMode="External"/><Relationship Id="rId11" Type="http://schemas.openxmlformats.org/officeDocument/2006/relationships/hyperlink" Target="garantf1://12024625.0" TargetMode="External"/><Relationship Id="rId24" Type="http://schemas.openxmlformats.org/officeDocument/2006/relationships/hyperlink" Target="consultantplus://offline/ref=4E414F11FDDD10DB58AB417104AF5265F7FDDF494103F97D46CF40D8351B336C54D2061578t3KEJ" TargetMode="External"/><Relationship Id="rId32" Type="http://schemas.openxmlformats.org/officeDocument/2006/relationships/hyperlink" Target="consultantplus://offline/ref=4E414F11FDDD10DB58AB417104AF5265F7FDDF494103F97D46CF40D8351B336C54D2061572t3K0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leysk22.ru/regulatory/official_docs/municipalnye_u_3/imushestvennye_i/10719/" TargetMode="External"/><Relationship Id="rId23" Type="http://schemas.openxmlformats.org/officeDocument/2006/relationships/hyperlink" Target="garantf1://12054874.2503" TargetMode="External"/><Relationship Id="rId28" Type="http://schemas.openxmlformats.org/officeDocument/2006/relationships/hyperlink" Target="consultantplus://offline/ref=4E414F11FDDD10DB58AB417104AF5265F7FDDF494103F97D46CF40D8351B336C54D206157Ct3K0J" TargetMode="External"/><Relationship Id="rId36" Type="http://schemas.openxmlformats.org/officeDocument/2006/relationships/hyperlink" Target="https://aleysk22.ru/regulatory/official_docs/municipalnye_u_3/imushestvennye_i/10719/" TargetMode="External"/><Relationship Id="rId10" Type="http://schemas.openxmlformats.org/officeDocument/2006/relationships/hyperlink" Target="garantf1://10064072.10000" TargetMode="External"/><Relationship Id="rId19" Type="http://schemas.openxmlformats.org/officeDocument/2006/relationships/hyperlink" Target="https://aleysk22.ru/regulatory/official_docs/municipalnye_u_3/imushestvennye_i/10719/" TargetMode="External"/><Relationship Id="rId31" Type="http://schemas.openxmlformats.org/officeDocument/2006/relationships/hyperlink" Target="consultantplus://offline/ref=4E414F11FDDD10DB58AB417104AF5265F7FDDF494103F97D46CF40D8351B336C54D206107A3Dt4K3J"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48567.0" TargetMode="External"/><Relationship Id="rId22" Type="http://schemas.openxmlformats.org/officeDocument/2006/relationships/hyperlink" Target="https://aleysk22.ru/regulatory/official_docs/municipalnye_u_3/imushestvennye_i/10719/" TargetMode="External"/><Relationship Id="rId27" Type="http://schemas.openxmlformats.org/officeDocument/2006/relationships/hyperlink" Target="consultantplus://offline/ref=4E414F11FDDD10DB58AB417104AF5265F7FDDF494103F97D46CF40D8351B336C54D206157Ct3KAJ" TargetMode="External"/><Relationship Id="rId30" Type="http://schemas.openxmlformats.org/officeDocument/2006/relationships/hyperlink" Target="consultantplus://offline/ref=4E414F11FDDD10DB58AB417104AF5265F7FDDF494103F97D46CF40D8351B336C54D206107A3Dt4K2J" TargetMode="External"/><Relationship Id="rId35"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11212</Words>
  <Characters>63909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2023-12-21T07:44:00Z</dcterms:created>
  <dcterms:modified xsi:type="dcterms:W3CDTF">2023-12-21T07:44:00Z</dcterms:modified>
</cp:coreProperties>
</file>