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F2" w:rsidRDefault="00FE25F2" w:rsidP="00FE25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292929"/>
          <w:sz w:val="21"/>
          <w:szCs w:val="21"/>
        </w:rPr>
      </w:pPr>
      <w:bookmarkStart w:id="0" w:name="_GoBack"/>
      <w:bookmarkEnd w:id="0"/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Администрация города Алейска Алтайского края (далее – «администрация города»), с одной стороны, Координационный Совет профсоюзных организаций города Алейска и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района (далее – «Профсоюз»), с другой стороны, и Ассоциация «Территориальное объединение работодателей города Алейска» (далее – «Работодатели»), с третьей стороны, вместе именуемые в дальнейшем «Стороны», руководствуясь Трудовым </w:t>
      </w:r>
      <w:hyperlink r:id="rId6" w:tooltip="&quot;Трудовой кодекс Российской Федерации&quot; от 30.12.2001 N 197-ФЗ (ред. от 29.07.2017) (с изм. и доп., вступ. в силу с 01.10.2017){КонсультантПлюс}" w:history="1">
        <w:r>
          <w:rPr>
            <w:rStyle w:val="a4"/>
            <w:rFonts w:ascii="Arial" w:hAnsi="Arial" w:cs="Arial"/>
            <w:color w:val="014591"/>
            <w:sz w:val="26"/>
            <w:szCs w:val="26"/>
          </w:rPr>
          <w:t>кодексом</w:t>
        </w:r>
      </w:hyperlink>
      <w:r>
        <w:rPr>
          <w:rFonts w:ascii="Arial" w:hAnsi="Arial" w:cs="Arial"/>
          <w:color w:val="292929"/>
          <w:sz w:val="26"/>
          <w:szCs w:val="26"/>
        </w:rPr>
        <w:t> Российской Федерации, </w:t>
      </w:r>
      <w:hyperlink r:id="rId7" w:tooltip="Закон Алтайского края от 14.06.2007 N 55-ЗС (ред. от 01.02.2017) &quot;О социальном партнерстве в Алтайском крае&quot; (принят Постановлением АКСНД от 06.06.2007 N 340){КонсультантПлюс}" w:history="1">
        <w:r>
          <w:rPr>
            <w:rStyle w:val="a4"/>
            <w:rFonts w:ascii="Arial" w:hAnsi="Arial" w:cs="Arial"/>
            <w:color w:val="014591"/>
            <w:sz w:val="26"/>
            <w:szCs w:val="26"/>
          </w:rPr>
          <w:t>законом</w:t>
        </w:r>
      </w:hyperlink>
      <w:r>
        <w:rPr>
          <w:rFonts w:ascii="Arial" w:hAnsi="Arial" w:cs="Arial"/>
          <w:color w:val="292929"/>
          <w:sz w:val="26"/>
          <w:szCs w:val="26"/>
        </w:rPr>
        <w:t> Алтайского края «О социальном партнерстве в Алтайском крае», заключили настоящее дополнительное соглашение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с целью внесения в городское трехстороннее соглашению между Координационным Советом профсоюзных организаций города Алейска и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района, Ассоциацией «Территориальное объединение работодателей города Алейска» и администрацией города Алейска Алтайского края на 2018 – 2020 годы (далее соответственно – «Дополнительное соглашение», «Соглашение») о нижеследующем.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1.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Внести в Соглашение следующие изменения: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абзац четвертый преамбулы дополнить словами «и иных соглашений»;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разделе I «Обязательства администрации города» в пункте 1.1. «В области оплаты труда и доходов населения»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подпункте 1.1.1 слова «рабочей группы по вопросам выплаты заработной платы» заменить словами «рабочих групп по вопросам заработной платы и по снижению неформальной занятости»;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подпункт 1.1.8 изложить в следующей редакции: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«1.1.8. продолжить работу по совершенствованию отраслевых систем оплаты труда в рамках выделенных бюджетных ассигнований на соответствующий финансовый год, а также средств от иной приносящей доход деятельности;»;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подпункт 1.3.6 изложить в следующей редакции: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«1.3.6.осуществлять меры, направленные на содействие в трудоустройстве, в том числе на рабочие места с гибкими формами занятости, граждан, воспитывающих несовершеннолетних детей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,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незанятых многодетных родителей и родителей, воспитывающих детей-инвалидов, на сохранение и развитие занятости граждан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предпенсионного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возраста; на организацию профессионального обучения и дополнительного профессионального образования родителей (усыновителей), опекунов (попечителей), осуществляющих уход за ребенком в возрасте до трех лет; женщин, находящихся в отпуске по уходу за ребенком до достижения им возраста трех лет, граждан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предпенсионного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возраста;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на возобновление трудовой деятельности незанятых граждан, которым в соответствии с законодательством Российской Федерации назначена страховая пенсия по старости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;»</w:t>
      </w:r>
      <w:proofErr w:type="gramEnd"/>
      <w:r>
        <w:rPr>
          <w:rFonts w:ascii="Arial" w:hAnsi="Arial" w:cs="Arial"/>
          <w:color w:val="292929"/>
          <w:sz w:val="26"/>
          <w:szCs w:val="26"/>
        </w:rPr>
        <w:t>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в подпункте 1.3.7. слова «на 2017 — 2018 годы исключить»; дополнить </w:t>
      </w:r>
      <w:r>
        <w:rPr>
          <w:rFonts w:ascii="Arial" w:hAnsi="Arial" w:cs="Arial"/>
          <w:color w:val="292929"/>
          <w:sz w:val="26"/>
          <w:szCs w:val="26"/>
        </w:rPr>
        <w:lastRenderedPageBreak/>
        <w:t>словами «; организовать сопровождение занятости инвалидов»;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дополнить Соглашение подпунктом 1.3.9 следующего содержания: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«1.3.9. осуществлять информационно-разъяснительную работу о недопустимости необоснованного отказа в приеме на работу, а также необоснованного увольнения граждан по мотивам достижения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предпенсионного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возраста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End"/>
      <w:r>
        <w:rPr>
          <w:rFonts w:ascii="Arial" w:hAnsi="Arial" w:cs="Arial"/>
          <w:color w:val="292929"/>
          <w:sz w:val="26"/>
          <w:szCs w:val="26"/>
        </w:rPr>
        <w:t>В разделе I «Обязательства администрации города» в пункте 1.4. «В области молодежной политики»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подпункт 1.4.5. после слов «Общероссийская база вакансий «Работа в России»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,»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дополнить словами «Общероссийский социальный сети деловых контактов «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Скилснет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»,»;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подпункт 1.5.5. дополнить словами «осуществлять взаимодействие с Государственной инспекцией труда в Алтайском крае по вопросам профилактики производственного травматизма».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разделе II. «Обязательства Работодателей»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пункт 2.1. «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В области оплаты труда и доходов населения»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подпункт 2.1.1. изложить в следующей редакции: «обеспечивать оплату труда работников в размере не ниже предусмотренного в отраслевых тарифных соглашениях, действующих в отношении работодателя, а в случае их отсутствия – обеспечивать темп роста средней заработной платы в 2020 году в организациях внебюджетного сектора экономики, где средняя заработная плата менее 20 000 рублей, не ниже 120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%,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в организациях, где средняя заработная плата более 20 000 рублей и менее 24 000 рублей, не ниже 115%», в организациях, где средняя заработная плата более 24 000 рублей и менее 30 000 рублей, не ниже 110%», в организациях, где средняя заработная плата более 30 000 рублей обеспечивать индексацию заработной платы в связи с ростом потребительских цен на товары и услуги</w:t>
      </w:r>
      <w:proofErr w:type="gramEnd"/>
      <w:r>
        <w:rPr>
          <w:rFonts w:ascii="Arial" w:hAnsi="Arial" w:cs="Arial"/>
          <w:color w:val="292929"/>
          <w:sz w:val="26"/>
          <w:szCs w:val="26"/>
        </w:rPr>
        <w:t>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подпункт 2.3.3 дополнить словами «, о предоставлении дополнительных социальных гарантий работнику»;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подпункте 2.3.5 слова «, которым до достижения пенсионного возраста остается не более 3 лет» заменить словами «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предпенсионного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возраста»;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абзац четвертый подпункта 2.3.9 дополнить словами «, определять в локальных документах организации особенности режима рабочего времени и времени отдыха инвалидов, предоставлять при необходимости им помощь наставников»;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подпункт 2.3.11 изложить в следующей редакции: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«2.3.11. применять в организациях города профессиональные стандарты с </w:t>
      </w:r>
      <w:r>
        <w:rPr>
          <w:rFonts w:ascii="Arial" w:hAnsi="Arial" w:cs="Arial"/>
          <w:color w:val="292929"/>
          <w:sz w:val="26"/>
          <w:szCs w:val="26"/>
        </w:rPr>
        <w:lastRenderedPageBreak/>
        <w:t>учетом требований, установленных законодательством Российской Федерации, создавать условия для развития системы независимой оценки квалификаций с учетом потребностей рынка труда;»;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подпункт 2.3.13 дополнить словами «; создавать условия для прохождения профессионального обучения и дополнительного профессионального образования гражданами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предпенсионного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возраста при содействии органов службы занятости;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содействовать прохождению профессионального обучения и дополнительного профессионального образования женщинами, находящимися в отпуске по уходу за ребенком до достижения им возраста трех лет, по направлению органов службы занятости»;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подпункт 2.4.3 изложить в следующей редакции: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«2.4.3. осуществлять меры по возрождению, развитию и стимулированию движения наставничества во всех сферах деятельности, в том числе пропагандировать опыт наставничества через средства массовой информации;»;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подпункте 2.6.7 слова «Министерство труда и социальной защиты Алтайского края» заменить словами «управление Алтайского края по труду и занятости населения»;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дополнить Соглашение подпунктом 2.3.15 следующего содержания: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«2.3.15 формировать с 01.01.2020 года основную информацию о трудовой деятельности и трудовом стаже каждого работника в электронном виде и ее представлении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Федерации».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В разделе III.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«Обязательства Профсоюза»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подпункт 3.3.2 дополнить словами «, обеспечение занятости граждан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предпенсионного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и пенсионного возраста».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дополнить Соглашение подпунктом 3.3.11 следующего содержания: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«3.3.11. осуществлять контроль за соблюдением предусмотренного трудовым законодательством запрета на ограничение трудовых прав и свобод граждан в зависимости от возраста с целью пресечения необоснованного отказа в приеме на работу, а также необоснованного увольнения граждан по мотивам достижения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предпенсионного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и пенсионного возраста</w:t>
      </w:r>
      <w:proofErr w:type="gramEnd"/>
      <w:r>
        <w:rPr>
          <w:rFonts w:ascii="Arial" w:hAnsi="Arial" w:cs="Arial"/>
          <w:color w:val="292929"/>
          <w:sz w:val="26"/>
          <w:szCs w:val="26"/>
        </w:rPr>
        <w:t>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подпункт 3.6.1 дополнить словом «, торговли»;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В разделе IV. «Обязательства Сторон»   пункт 4.3 дополнить предложением следующего содержания: «Способствовать развитию системы </w:t>
      </w:r>
      <w:r>
        <w:rPr>
          <w:rFonts w:ascii="Arial" w:hAnsi="Arial" w:cs="Arial"/>
          <w:color w:val="292929"/>
          <w:sz w:val="26"/>
          <w:szCs w:val="26"/>
        </w:rPr>
        <w:lastRenderedPageBreak/>
        <w:t>квалификаций в Алтайском районе, формированию системы непрерывного обновления работающими гражданами своих профессиональных знаний и приобретения ими новых профессиональных навыков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End"/>
      <w:r>
        <w:rPr>
          <w:rFonts w:ascii="Arial" w:hAnsi="Arial" w:cs="Arial"/>
          <w:color w:val="292929"/>
          <w:sz w:val="26"/>
          <w:szCs w:val="26"/>
        </w:rPr>
        <w:t>пункт 4.21 дополнить предложением следующего содержания: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«Тиражировать положительный опыт сохранения и развития занятости граждан старшего поколения, их трудовой активности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End"/>
      <w:r>
        <w:rPr>
          <w:rFonts w:ascii="Arial" w:hAnsi="Arial" w:cs="Arial"/>
          <w:color w:val="292929"/>
          <w:sz w:val="26"/>
          <w:szCs w:val="26"/>
        </w:rPr>
        <w:t>пункт 4.22 изложить в следующей редакции: «Обеспечить в 2020 году выполнение основных индикативных показателей в сфере труда и занятости населения»: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4"/>
        <w:gridCol w:w="1251"/>
      </w:tblGrid>
      <w:tr w:rsidR="00FE25F2" w:rsidTr="00FE25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                       Наименование показателя</w:t>
            </w:r>
            <w:r>
              <w:rPr>
                <w:color w:val="151515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2020 год</w:t>
            </w:r>
            <w:r>
              <w:rPr>
                <w:color w:val="151515"/>
              </w:rPr>
              <w:br/>
            </w:r>
          </w:p>
        </w:tc>
      </w:tr>
      <w:tr w:rsidR="00FE25F2" w:rsidTr="00FE25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Охват работников коллективными договорами на 2020 год, %</w:t>
            </w:r>
            <w:r>
              <w:rPr>
                <w:color w:val="151515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    83,6</w:t>
            </w:r>
            <w:r>
              <w:rPr>
                <w:color w:val="151515"/>
              </w:rPr>
              <w:br/>
            </w:r>
          </w:p>
        </w:tc>
      </w:tr>
      <w:tr w:rsidR="00FE25F2" w:rsidTr="00FE25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Профессиональное обеспечение охраны труда на 2020 год, %</w:t>
            </w:r>
            <w:r>
              <w:rPr>
                <w:color w:val="151515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     100</w:t>
            </w:r>
            <w:r>
              <w:rPr>
                <w:color w:val="151515"/>
              </w:rPr>
              <w:br/>
            </w:r>
          </w:p>
        </w:tc>
      </w:tr>
      <w:tr w:rsidR="00FE25F2" w:rsidTr="00FE25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Обучение руководителей и специалистов по охране труда на 2020 год, %</w:t>
            </w:r>
            <w:r>
              <w:rPr>
                <w:color w:val="151515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     100</w:t>
            </w:r>
            <w:r>
              <w:rPr>
                <w:color w:val="151515"/>
              </w:rPr>
              <w:br/>
            </w:r>
          </w:p>
        </w:tc>
      </w:tr>
      <w:tr w:rsidR="00FE25F2" w:rsidTr="00FE25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Специальная оценка условий труда на 2020 год, %</w:t>
            </w:r>
            <w:r>
              <w:rPr>
                <w:color w:val="151515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     100      </w:t>
            </w:r>
            <w:r>
              <w:rPr>
                <w:color w:val="151515"/>
              </w:rPr>
              <w:br/>
            </w:r>
          </w:p>
        </w:tc>
      </w:tr>
      <w:tr w:rsidR="00FE25F2" w:rsidTr="00FE25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 xml:space="preserve">Охват работников медицинскими осмотрами на 2020 год, </w:t>
            </w:r>
            <w:proofErr w:type="gramStart"/>
            <w:r>
              <w:rPr>
                <w:color w:val="151515"/>
                <w:sz w:val="26"/>
                <w:szCs w:val="26"/>
              </w:rPr>
              <w:t>в</w:t>
            </w:r>
            <w:proofErr w:type="gramEnd"/>
            <w:r>
              <w:rPr>
                <w:color w:val="151515"/>
                <w:sz w:val="26"/>
                <w:szCs w:val="26"/>
              </w:rPr>
              <w:t xml:space="preserve"> %</w:t>
            </w:r>
            <w:r>
              <w:rPr>
                <w:color w:val="151515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     100</w:t>
            </w:r>
            <w:r>
              <w:rPr>
                <w:color w:val="151515"/>
              </w:rPr>
              <w:br/>
            </w:r>
          </w:p>
        </w:tc>
      </w:tr>
      <w:tr w:rsidR="00FE25F2" w:rsidTr="00FE25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lastRenderedPageBreak/>
              <w:br/>
            </w:r>
            <w:r>
              <w:rPr>
                <w:color w:val="151515"/>
                <w:sz w:val="26"/>
                <w:szCs w:val="26"/>
              </w:rPr>
              <w:t>Количество работодателей бюджетного сектора, внесенных в реестр социально ответственных работодателей в 2020 году, с учетом имеющихся в реестре на 31.12.2019, ед.</w:t>
            </w:r>
            <w:r>
              <w:rPr>
                <w:color w:val="151515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       5</w:t>
            </w:r>
            <w:r>
              <w:rPr>
                <w:color w:val="151515"/>
              </w:rPr>
              <w:br/>
            </w:r>
          </w:p>
        </w:tc>
      </w:tr>
      <w:tr w:rsidR="00FE25F2" w:rsidTr="00FE25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Количество работодателей реального сектора экономики, внесенных в реестр социально ответственных работодателей в 2020 году, с учетом имеющихся в реестре на 31.12.2019, ед.</w:t>
            </w:r>
            <w:r>
              <w:rPr>
                <w:color w:val="151515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       4</w:t>
            </w:r>
            <w:r>
              <w:rPr>
                <w:color w:val="151515"/>
              </w:rPr>
              <w:br/>
            </w:r>
          </w:p>
        </w:tc>
      </w:tr>
      <w:tr w:rsidR="00FE25F2" w:rsidTr="00FE25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Снижение неформальной занятости (количество заключенных трудовых договоров в 2020 году), ед.</w:t>
            </w:r>
            <w:r>
              <w:rPr>
                <w:color w:val="151515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    288</w:t>
            </w:r>
            <w:r>
              <w:rPr>
                <w:color w:val="151515"/>
              </w:rPr>
              <w:br/>
            </w:r>
          </w:p>
        </w:tc>
      </w:tr>
      <w:tr w:rsidR="00FE25F2" w:rsidTr="00FE25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 xml:space="preserve">Уровень официально зарегистрированной безработицы </w:t>
            </w:r>
            <w:proofErr w:type="gramStart"/>
            <w:r>
              <w:rPr>
                <w:color w:val="151515"/>
                <w:sz w:val="26"/>
                <w:szCs w:val="26"/>
              </w:rPr>
              <w:t>в</w:t>
            </w:r>
            <w:proofErr w:type="gramEnd"/>
            <w:r>
              <w:rPr>
                <w:color w:val="151515"/>
                <w:sz w:val="26"/>
                <w:szCs w:val="26"/>
              </w:rPr>
              <w:t xml:space="preserve"> % к трудоспособному населению на 31.12.2020 года не выше</w:t>
            </w:r>
            <w:r>
              <w:rPr>
                <w:color w:val="151515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    0,5</w:t>
            </w:r>
            <w:r>
              <w:rPr>
                <w:color w:val="151515"/>
              </w:rPr>
              <w:br/>
            </w:r>
          </w:p>
        </w:tc>
      </w:tr>
      <w:tr w:rsidR="00FE25F2" w:rsidTr="00FE25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Ввод новых и модернизированных рабочих мест в 2020 г, ед.</w:t>
            </w:r>
            <w:r>
              <w:rPr>
                <w:color w:val="151515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   174</w:t>
            </w:r>
            <w:r>
              <w:rPr>
                <w:color w:val="151515"/>
              </w:rPr>
              <w:br/>
            </w:r>
          </w:p>
        </w:tc>
      </w:tr>
      <w:tr w:rsidR="00FE25F2" w:rsidTr="00FE25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Численность инвалидов трудоспособного возраста, работающих в 2020 году, чел.</w:t>
            </w:r>
            <w:r>
              <w:rPr>
                <w:color w:val="151515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   192</w:t>
            </w:r>
            <w:r>
              <w:rPr>
                <w:color w:val="151515"/>
              </w:rPr>
              <w:br/>
            </w:r>
          </w:p>
        </w:tc>
      </w:tr>
    </w:tbl>
    <w:p w:rsidR="00FE25F2" w:rsidRDefault="00FE25F2" w:rsidP="00FE25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</w:rPr>
        <w:t>Дополнить Соглашение пунктом 4.23 следующего содержания: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</w:rPr>
        <w:t>«4.23. Содействовать развитию волонтерского движения в Алтайском районе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.».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End"/>
      <w:r>
        <w:rPr>
          <w:rFonts w:ascii="Arial" w:hAnsi="Arial" w:cs="Arial"/>
          <w:color w:val="333333"/>
          <w:sz w:val="26"/>
          <w:szCs w:val="26"/>
        </w:rPr>
        <w:t>Дополнить Соглашение пунктом 4.24 следующего содержания: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lastRenderedPageBreak/>
        <w:br/>
      </w:r>
      <w:r>
        <w:rPr>
          <w:rFonts w:ascii="Arial" w:hAnsi="Arial" w:cs="Arial"/>
          <w:color w:val="333333"/>
          <w:sz w:val="26"/>
          <w:szCs w:val="26"/>
        </w:rPr>
        <w:t>«4.2. Организовать информационную работу по реализации Федерального закона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</w:rPr>
        <w:t>2. Во всем остальном, что не предусмотрено настоящим Дополнительным соглашением, Стороны руководствуются Соглашением.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</w:rPr>
        <w:t>3. Настоящее Дополнительное соглашение вступает в силу с 01.01.2020 года.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</w:rPr>
        <w:t>                                          ПОДПИСИ СТОРОН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6416"/>
      </w:tblGrid>
      <w:tr w:rsidR="00FE25F2" w:rsidTr="00FE25F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Администрация города Алейска      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Глава города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 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___________ И.В. Маскаев</w:t>
            </w:r>
            <w:r>
              <w:rPr>
                <w:color w:val="151515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 xml:space="preserve">Координационный Совет профсоюзных организаций города Алейска и </w:t>
            </w:r>
            <w:proofErr w:type="spellStart"/>
            <w:r>
              <w:rPr>
                <w:color w:val="151515"/>
                <w:sz w:val="26"/>
                <w:szCs w:val="26"/>
              </w:rPr>
              <w:t>Алейского</w:t>
            </w:r>
            <w:proofErr w:type="spellEnd"/>
            <w:r>
              <w:rPr>
                <w:color w:val="151515"/>
                <w:sz w:val="26"/>
                <w:szCs w:val="26"/>
              </w:rPr>
              <w:t xml:space="preserve"> района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Председатель 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 xml:space="preserve">_______________В.И. </w:t>
            </w:r>
            <w:proofErr w:type="spellStart"/>
            <w:r>
              <w:rPr>
                <w:color w:val="151515"/>
                <w:sz w:val="26"/>
                <w:szCs w:val="26"/>
              </w:rPr>
              <w:t>Земзюлина</w:t>
            </w:r>
            <w:proofErr w:type="spellEnd"/>
            <w:r>
              <w:rPr>
                <w:color w:val="151515"/>
              </w:rPr>
              <w:br/>
            </w:r>
          </w:p>
        </w:tc>
      </w:tr>
      <w:tr w:rsidR="00FE25F2" w:rsidTr="00FE25F2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Ассоциация «Территориальное объединение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lastRenderedPageBreak/>
              <w:t>работодателей города Алейска»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</w:p>
        </w:tc>
      </w:tr>
      <w:tr w:rsidR="00FE25F2" w:rsidTr="00FE25F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lastRenderedPageBreak/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</w:p>
        </w:tc>
      </w:tr>
      <w:tr w:rsidR="00FE25F2" w:rsidTr="00FE25F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Председатель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 xml:space="preserve">___________Я.Я. </w:t>
            </w:r>
            <w:proofErr w:type="spellStart"/>
            <w:r>
              <w:rPr>
                <w:color w:val="151515"/>
                <w:sz w:val="26"/>
                <w:szCs w:val="26"/>
              </w:rPr>
              <w:t>Ровейн</w:t>
            </w:r>
            <w:proofErr w:type="spellEnd"/>
            <w:r>
              <w:rPr>
                <w:color w:val="151515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25F2" w:rsidRDefault="00FE25F2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color w:val="151515"/>
              </w:rPr>
              <w:br/>
            </w:r>
            <w:r>
              <w:rPr>
                <w:color w:val="151515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</w:p>
        </w:tc>
      </w:tr>
    </w:tbl>
    <w:p w:rsidR="003D1A8B" w:rsidRPr="001177E6" w:rsidRDefault="003D1A8B" w:rsidP="001177E6"/>
    <w:sectPr w:rsidR="003D1A8B" w:rsidRPr="0011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460"/>
    <w:multiLevelType w:val="multilevel"/>
    <w:tmpl w:val="8A04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C39AE"/>
    <w:multiLevelType w:val="multilevel"/>
    <w:tmpl w:val="0E8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52C04"/>
    <w:multiLevelType w:val="multilevel"/>
    <w:tmpl w:val="9C9A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C22D3"/>
    <w:multiLevelType w:val="multilevel"/>
    <w:tmpl w:val="519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A4A19"/>
    <w:multiLevelType w:val="multilevel"/>
    <w:tmpl w:val="D35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D5166"/>
    <w:multiLevelType w:val="multilevel"/>
    <w:tmpl w:val="0C9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097FF9"/>
    <w:rsid w:val="00112CD2"/>
    <w:rsid w:val="001177E6"/>
    <w:rsid w:val="00301D23"/>
    <w:rsid w:val="00306657"/>
    <w:rsid w:val="003D1A8B"/>
    <w:rsid w:val="00477B4E"/>
    <w:rsid w:val="004C6D91"/>
    <w:rsid w:val="004E0CA3"/>
    <w:rsid w:val="006842DD"/>
    <w:rsid w:val="00746D5B"/>
    <w:rsid w:val="007F68A7"/>
    <w:rsid w:val="0081689F"/>
    <w:rsid w:val="00845B54"/>
    <w:rsid w:val="00936B03"/>
    <w:rsid w:val="00990085"/>
    <w:rsid w:val="00A94137"/>
    <w:rsid w:val="00B510AE"/>
    <w:rsid w:val="00D32D5B"/>
    <w:rsid w:val="00D63C52"/>
    <w:rsid w:val="00DA57BE"/>
    <w:rsid w:val="00EF0437"/>
    <w:rsid w:val="00F00806"/>
    <w:rsid w:val="00F21FD8"/>
    <w:rsid w:val="00F81AF8"/>
    <w:rsid w:val="00FB303A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4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4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1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1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4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EDAB431560C24676FC932679F46FB853442400041F4BC0FA0D3EC8A68164645vEu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DAB431560C24676FC92C6A892AA589304B1F0B41F6B35EFE8CB7D73F1F4C12AF88D40E09v1u1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2023-12-11T08:32:00Z</dcterms:created>
  <dcterms:modified xsi:type="dcterms:W3CDTF">2023-12-11T08:32:00Z</dcterms:modified>
</cp:coreProperties>
</file>